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46A80" w14:textId="751CDA62" w:rsidR="00DA2251" w:rsidRDefault="00DA2251" w:rsidP="00DA2251">
      <w:pPr>
        <w:spacing w:after="0"/>
        <w:rPr>
          <w:bCs/>
          <w:sz w:val="22"/>
        </w:rPr>
      </w:pPr>
      <w:bookmarkStart w:id="0" w:name="_Hlk96088217"/>
      <w:bookmarkEnd w:id="0"/>
      <w:r>
        <w:rPr>
          <w:bCs/>
          <w:sz w:val="22"/>
        </w:rPr>
        <w:t>Wissenschaftliche Studie zu Verdunstungs- und Kühlleistung von Gründächern</w:t>
      </w:r>
    </w:p>
    <w:p w14:paraId="6EF2DD15" w14:textId="77777777" w:rsidR="00DA2251" w:rsidRPr="00DA2251" w:rsidRDefault="00DA2251" w:rsidP="00DA2251">
      <w:pPr>
        <w:spacing w:after="0"/>
        <w:rPr>
          <w:bCs/>
          <w:sz w:val="22"/>
        </w:rPr>
      </w:pPr>
    </w:p>
    <w:p w14:paraId="13580931" w14:textId="75017222" w:rsidR="00DA2251" w:rsidRPr="00AD67AE" w:rsidRDefault="00DA2251" w:rsidP="00DA2251">
      <w:pPr>
        <w:spacing w:after="0"/>
        <w:rPr>
          <w:b/>
          <w:sz w:val="32"/>
          <w:szCs w:val="32"/>
        </w:rPr>
      </w:pPr>
      <w:r w:rsidRPr="00AD67AE">
        <w:rPr>
          <w:b/>
          <w:sz w:val="32"/>
          <w:szCs w:val="32"/>
        </w:rPr>
        <w:t>Gründach ist nicht gleich Gründach!</w:t>
      </w:r>
    </w:p>
    <w:p w14:paraId="1E9FD6D5" w14:textId="77777777" w:rsidR="00DA2251" w:rsidRPr="009E7365" w:rsidRDefault="00DA2251" w:rsidP="00DA2251">
      <w:pPr>
        <w:spacing w:after="0"/>
        <w:rPr>
          <w:b/>
          <w:sz w:val="28"/>
        </w:rPr>
      </w:pPr>
    </w:p>
    <w:p w14:paraId="2D609320" w14:textId="05350447" w:rsidR="00DA2251" w:rsidRPr="00AD67AE" w:rsidRDefault="00DA2251" w:rsidP="00DA2251">
      <w:pPr>
        <w:jc w:val="both"/>
        <w:rPr>
          <w:i/>
          <w:iCs/>
          <w:sz w:val="22"/>
        </w:rPr>
      </w:pPr>
      <w:r w:rsidRPr="00AD67AE">
        <w:rPr>
          <w:i/>
          <w:iCs/>
          <w:sz w:val="22"/>
        </w:rPr>
        <w:t>Die im Zuge des Klimawandels zunehmenden Hitzewellen und Starkregenereignisse sowie die damit einhergehenden Überflutungsschäden und Todesfälle sind eine der größten Herausforderungen für Städte im 21. Jahrhundert. Die großflächig versiegelten Flächen heizen sich im Sommer rasant auf und verfügen über keinerlei Rückhaltemöglichkeit für Regenwasser. Graue Infrastruktur – wo nicht unbedingt nötig, ist inzwischen überholt: Längst gibt es grüne, blaue und blau-grüne Alternativen, die in der Lage sind</w:t>
      </w:r>
      <w:r w:rsidR="00AD67AE" w:rsidRPr="00AD67AE">
        <w:rPr>
          <w:i/>
          <w:iCs/>
          <w:sz w:val="22"/>
        </w:rPr>
        <w:t>,</w:t>
      </w:r>
      <w:r w:rsidRPr="00AD67AE">
        <w:rPr>
          <w:i/>
          <w:iCs/>
          <w:sz w:val="22"/>
        </w:rPr>
        <w:t xml:space="preserve"> den Regenwasserabfluss in den Kanal zu reduzieren und das Mikroklima mittels natürlicher Kühlleistung zu verbessern. </w:t>
      </w:r>
    </w:p>
    <w:p w14:paraId="6CF8EE31" w14:textId="5DF1D30F" w:rsidR="00DA2251" w:rsidRDefault="00DA2251" w:rsidP="00DA2251">
      <w:pPr>
        <w:jc w:val="both"/>
        <w:rPr>
          <w:i/>
          <w:iCs/>
          <w:sz w:val="22"/>
        </w:rPr>
      </w:pPr>
      <w:r w:rsidRPr="00AD67AE">
        <w:rPr>
          <w:i/>
          <w:iCs/>
          <w:sz w:val="22"/>
        </w:rPr>
        <w:t>Allerdings gibt es mittlerweile eine so große Zahl an Gründachanbietern und –systemen, dass man leicht den Überblick verliert. Welches System ist das passende für ein bestimmtes Dach, Gebäude oder gar Stadtquartier?</w:t>
      </w:r>
    </w:p>
    <w:p w14:paraId="213ADA4A" w14:textId="255304E3" w:rsidR="00AD67AE" w:rsidRPr="00522C53" w:rsidRDefault="00AD67AE" w:rsidP="00DA2251">
      <w:pPr>
        <w:jc w:val="both"/>
        <w:rPr>
          <w:b/>
          <w:bCs/>
          <w:sz w:val="22"/>
        </w:rPr>
      </w:pPr>
      <w:r w:rsidRPr="00522C53">
        <w:rPr>
          <w:b/>
          <w:bCs/>
          <w:sz w:val="22"/>
        </w:rPr>
        <w:t>Kriterien für das richtige Gründach</w:t>
      </w:r>
    </w:p>
    <w:p w14:paraId="24D6B727" w14:textId="14BDB22C" w:rsidR="00DA2251" w:rsidRPr="00DA2251" w:rsidRDefault="00DA2251" w:rsidP="00DA2251">
      <w:pPr>
        <w:jc w:val="both"/>
        <w:rPr>
          <w:sz w:val="22"/>
        </w:rPr>
      </w:pPr>
      <w:r w:rsidRPr="00DA2251">
        <w:rPr>
          <w:sz w:val="22"/>
        </w:rPr>
        <w:t>Jedes Gründachsystem ist auf ein konkretes Ziel ausgelegt, sei es ein möglichst leichter Aufbau, eine besonders biodiverse Gestaltung, ein maximaler Regenwasserrückhalt… Inwiefern tragen die jeweiligen Aufbauten jedoch zu de</w:t>
      </w:r>
      <w:r w:rsidR="00D929C3">
        <w:rPr>
          <w:sz w:val="22"/>
        </w:rPr>
        <w:t>n</w:t>
      </w:r>
      <w:r w:rsidRPr="00DA2251">
        <w:rPr>
          <w:sz w:val="22"/>
        </w:rPr>
        <w:t xml:space="preserve"> </w:t>
      </w:r>
      <w:r w:rsidR="00D929C3">
        <w:rPr>
          <w:sz w:val="22"/>
        </w:rPr>
        <w:t>Anforderungen</w:t>
      </w:r>
      <w:r w:rsidRPr="00DA2251">
        <w:rPr>
          <w:sz w:val="22"/>
        </w:rPr>
        <w:t xml:space="preserve"> der Städte </w:t>
      </w:r>
      <w:r w:rsidR="00D929C3">
        <w:rPr>
          <w:sz w:val="22"/>
        </w:rPr>
        <w:t>hinsichtlich</w:t>
      </w:r>
      <w:r w:rsidRPr="00DA2251">
        <w:rPr>
          <w:sz w:val="22"/>
        </w:rPr>
        <w:t xml:space="preserve"> Klimawandel</w:t>
      </w:r>
      <w:r w:rsidR="00D929C3">
        <w:rPr>
          <w:sz w:val="22"/>
        </w:rPr>
        <w:t xml:space="preserve">resilienz </w:t>
      </w:r>
      <w:r w:rsidRPr="00DA2251">
        <w:rPr>
          <w:sz w:val="22"/>
        </w:rPr>
        <w:t xml:space="preserve">bei? </w:t>
      </w:r>
    </w:p>
    <w:p w14:paraId="5C3D15A1" w14:textId="4C68EC78" w:rsidR="00DA2251" w:rsidRPr="00DA2251" w:rsidRDefault="00DA2251" w:rsidP="00DA2251">
      <w:pPr>
        <w:jc w:val="both"/>
        <w:rPr>
          <w:sz w:val="22"/>
        </w:rPr>
      </w:pPr>
      <w:r w:rsidRPr="00DA2251">
        <w:rPr>
          <w:sz w:val="22"/>
        </w:rPr>
        <w:t>Zwei ausgesprochen wichtige Kriterien für die Bewertung des Beitrags eines Gründaches zur Gestaltung klimawandelresilienter</w:t>
      </w:r>
      <w:r w:rsidR="00D929C3">
        <w:rPr>
          <w:sz w:val="22"/>
        </w:rPr>
        <w:t>,</w:t>
      </w:r>
      <w:r w:rsidRPr="00DA2251">
        <w:rPr>
          <w:sz w:val="22"/>
        </w:rPr>
        <w:t xml:space="preserve"> urbaner Gebiete sind die </w:t>
      </w:r>
      <w:r w:rsidRPr="00DA2251">
        <w:rPr>
          <w:b/>
          <w:sz w:val="22"/>
        </w:rPr>
        <w:t>Verdunstungsleistung</w:t>
      </w:r>
      <w:r w:rsidRPr="00DA2251">
        <w:rPr>
          <w:sz w:val="22"/>
        </w:rPr>
        <w:t xml:space="preserve"> und die damit einhergehende </w:t>
      </w:r>
      <w:r w:rsidRPr="00DA2251">
        <w:rPr>
          <w:b/>
          <w:sz w:val="22"/>
        </w:rPr>
        <w:t>Kühlleistung</w:t>
      </w:r>
      <w:r w:rsidRPr="00DA2251">
        <w:rPr>
          <w:sz w:val="22"/>
        </w:rPr>
        <w:t xml:space="preserve">: Eine Maximierung der Verdunstung durch die Vegetation und über das Substrat stellt den natürlichen Wasserkreislauf wieder her und reduziert das Überflutungsrisiko durch die Minimierung des Abflussvolumens. Gleichzeitig bringt die Verdunstung von Wasser im Sommer eine natürliche Kühlleistung, die das Mikroklima spürbar verbessern kann.  </w:t>
      </w:r>
    </w:p>
    <w:p w14:paraId="2E739FC0" w14:textId="117DC1A5" w:rsidR="00DA2251" w:rsidRPr="00DA2251" w:rsidRDefault="00DA2251" w:rsidP="00DA2251">
      <w:pPr>
        <w:jc w:val="both"/>
        <w:rPr>
          <w:sz w:val="22"/>
        </w:rPr>
      </w:pPr>
      <w:r w:rsidRPr="00DA2251">
        <w:rPr>
          <w:sz w:val="22"/>
        </w:rPr>
        <w:t>Dass Gründach nicht gleich Gründach ist, zeigen die Ergebnisse einer kürzlich veröffentlichten wissenschaftlichen Studie. Darin wurden vier verschiedene Gründachsysteme in Hinblick auf ihre Verdunstungs- und Kühlleistung untersucht: ein Gründach mit besonders leichtem Aufbau und kleinem Wasserspeicher (1), eines mit mittlerer Substratstärke und mittlerem Wasserspeicher (2), eines mit mittlerer Substratstärke und großem Wasserspeicher inklusive Anstau (3) und eines mit mittlerem Wasserspeicher und hoher Substratschicht (4).</w:t>
      </w:r>
    </w:p>
    <w:p w14:paraId="24C44F8F" w14:textId="77777777" w:rsidR="00DA2251" w:rsidRDefault="00DA2251" w:rsidP="00DA2251">
      <w:pPr>
        <w:jc w:val="right"/>
      </w:pPr>
      <w:r>
        <w:rPr>
          <w:noProof/>
          <w:lang w:eastAsia="de-DE"/>
        </w:rPr>
        <w:drawing>
          <wp:inline distT="0" distB="0" distL="0" distR="0" wp14:anchorId="76244F13" wp14:editId="69FA7C38">
            <wp:extent cx="4828892" cy="1369232"/>
            <wp:effectExtent l="0" t="0" r="0" b="254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85305" cy="1385228"/>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2071"/>
        <w:gridCol w:w="1894"/>
        <w:gridCol w:w="1900"/>
        <w:gridCol w:w="1895"/>
      </w:tblGrid>
      <w:tr w:rsidR="00DA2251" w14:paraId="3BBE468C" w14:textId="77777777" w:rsidTr="00C63B14">
        <w:tc>
          <w:tcPr>
            <w:tcW w:w="1312" w:type="dxa"/>
            <w:tcMar>
              <w:left w:w="0" w:type="dxa"/>
              <w:right w:w="0" w:type="dxa"/>
            </w:tcMar>
          </w:tcPr>
          <w:p w14:paraId="1A2CED61" w14:textId="77777777" w:rsidR="00DA2251" w:rsidRDefault="00DA2251" w:rsidP="00C63B14">
            <w:pPr>
              <w:rPr>
                <w:b/>
                <w:sz w:val="20"/>
              </w:rPr>
            </w:pPr>
          </w:p>
          <w:p w14:paraId="489B6034" w14:textId="77777777" w:rsidR="00DA2251" w:rsidRDefault="00DA2251" w:rsidP="00C63B14">
            <w:pPr>
              <w:rPr>
                <w:b/>
                <w:sz w:val="20"/>
              </w:rPr>
            </w:pPr>
            <w:r>
              <w:rPr>
                <w:b/>
                <w:sz w:val="20"/>
              </w:rPr>
              <w:t>Substrathöhe</w:t>
            </w:r>
          </w:p>
          <w:p w14:paraId="0BC68D0D" w14:textId="77777777" w:rsidR="00DA2251" w:rsidRDefault="00DA2251" w:rsidP="00C63B14">
            <w:pPr>
              <w:rPr>
                <w:b/>
                <w:sz w:val="20"/>
              </w:rPr>
            </w:pPr>
            <w:r>
              <w:rPr>
                <w:b/>
                <w:sz w:val="20"/>
              </w:rPr>
              <w:t>Wasserspeicher</w:t>
            </w:r>
          </w:p>
          <w:p w14:paraId="5B1DDD40" w14:textId="77777777" w:rsidR="00DA2251" w:rsidRPr="000E0A38" w:rsidRDefault="00DA2251" w:rsidP="00C63B14">
            <w:pPr>
              <w:rPr>
                <w:b/>
                <w:sz w:val="20"/>
              </w:rPr>
            </w:pPr>
            <w:r>
              <w:rPr>
                <w:b/>
                <w:sz w:val="20"/>
              </w:rPr>
              <w:t>Begrünungsart</w:t>
            </w:r>
          </w:p>
        </w:tc>
        <w:tc>
          <w:tcPr>
            <w:tcW w:w="2071" w:type="dxa"/>
            <w:tcMar>
              <w:left w:w="0" w:type="dxa"/>
              <w:right w:w="0" w:type="dxa"/>
            </w:tcMar>
          </w:tcPr>
          <w:p w14:paraId="23BDBC90" w14:textId="77777777" w:rsidR="00DA2251" w:rsidRPr="000E0A38" w:rsidRDefault="00DA2251" w:rsidP="00C63B14">
            <w:pPr>
              <w:jc w:val="center"/>
              <w:rPr>
                <w:b/>
                <w:sz w:val="20"/>
              </w:rPr>
            </w:pPr>
            <w:r w:rsidRPr="000E0A38">
              <w:rPr>
                <w:b/>
                <w:sz w:val="20"/>
              </w:rPr>
              <w:t>(1) Spardach</w:t>
            </w:r>
          </w:p>
          <w:p w14:paraId="40F7B1C3" w14:textId="77777777" w:rsidR="00DA2251" w:rsidRPr="000E0A38" w:rsidRDefault="00DA2251" w:rsidP="00C63B14">
            <w:pPr>
              <w:jc w:val="center"/>
              <w:rPr>
                <w:sz w:val="20"/>
              </w:rPr>
            </w:pPr>
            <w:r w:rsidRPr="000E0A38">
              <w:rPr>
                <w:sz w:val="20"/>
              </w:rPr>
              <w:t>6</w:t>
            </w:r>
            <w:r>
              <w:rPr>
                <w:sz w:val="20"/>
              </w:rPr>
              <w:t xml:space="preserve"> cm</w:t>
            </w:r>
          </w:p>
          <w:p w14:paraId="796B4A52" w14:textId="77777777" w:rsidR="00DA2251" w:rsidRDefault="00DA2251" w:rsidP="00C63B14">
            <w:pPr>
              <w:jc w:val="center"/>
              <w:rPr>
                <w:sz w:val="20"/>
              </w:rPr>
            </w:pPr>
            <w:r w:rsidRPr="000E0A38">
              <w:rPr>
                <w:sz w:val="20"/>
              </w:rPr>
              <w:t>5</w:t>
            </w:r>
            <w:r>
              <w:rPr>
                <w:sz w:val="20"/>
              </w:rPr>
              <w:t xml:space="preserve"> l/m²</w:t>
            </w:r>
          </w:p>
          <w:p w14:paraId="240F2CBE" w14:textId="77777777" w:rsidR="00DA2251" w:rsidRPr="000E0A38" w:rsidRDefault="00DA2251" w:rsidP="00C63B14">
            <w:pPr>
              <w:jc w:val="center"/>
              <w:rPr>
                <w:sz w:val="20"/>
              </w:rPr>
            </w:pPr>
            <w:r>
              <w:rPr>
                <w:sz w:val="20"/>
              </w:rPr>
              <w:t>extensiv</w:t>
            </w:r>
          </w:p>
        </w:tc>
        <w:tc>
          <w:tcPr>
            <w:tcW w:w="1894" w:type="dxa"/>
            <w:tcMar>
              <w:left w:w="0" w:type="dxa"/>
              <w:right w:w="0" w:type="dxa"/>
            </w:tcMar>
          </w:tcPr>
          <w:p w14:paraId="75343FB9" w14:textId="77777777" w:rsidR="00DA2251" w:rsidRPr="000E0A38" w:rsidRDefault="00DA2251" w:rsidP="00C63B14">
            <w:pPr>
              <w:jc w:val="center"/>
              <w:rPr>
                <w:b/>
                <w:sz w:val="20"/>
              </w:rPr>
            </w:pPr>
            <w:r w:rsidRPr="000E0A38">
              <w:rPr>
                <w:b/>
                <w:sz w:val="20"/>
              </w:rPr>
              <w:t>(2) Naturdach</w:t>
            </w:r>
          </w:p>
          <w:p w14:paraId="707DA014" w14:textId="77777777" w:rsidR="00DA2251" w:rsidRDefault="00DA2251" w:rsidP="00C63B14">
            <w:pPr>
              <w:jc w:val="center"/>
              <w:rPr>
                <w:sz w:val="20"/>
              </w:rPr>
            </w:pPr>
            <w:r w:rsidRPr="000E0A38">
              <w:rPr>
                <w:sz w:val="20"/>
              </w:rPr>
              <w:t>10</w:t>
            </w:r>
            <w:r>
              <w:rPr>
                <w:sz w:val="20"/>
              </w:rPr>
              <w:t xml:space="preserve"> cm</w:t>
            </w:r>
          </w:p>
          <w:p w14:paraId="1E73137B" w14:textId="77777777" w:rsidR="00DA2251" w:rsidRDefault="00DA2251" w:rsidP="00C63B14">
            <w:pPr>
              <w:jc w:val="center"/>
              <w:rPr>
                <w:sz w:val="20"/>
              </w:rPr>
            </w:pPr>
            <w:r w:rsidRPr="000E0A38">
              <w:rPr>
                <w:sz w:val="20"/>
              </w:rPr>
              <w:t>8,7</w:t>
            </w:r>
            <w:r>
              <w:rPr>
                <w:sz w:val="20"/>
              </w:rPr>
              <w:t xml:space="preserve"> l/m²</w:t>
            </w:r>
          </w:p>
          <w:p w14:paraId="3FBF2508" w14:textId="77777777" w:rsidR="00DA2251" w:rsidRPr="000E0A38" w:rsidRDefault="00DA2251" w:rsidP="00C63B14">
            <w:pPr>
              <w:jc w:val="center"/>
              <w:rPr>
                <w:sz w:val="20"/>
              </w:rPr>
            </w:pPr>
            <w:r>
              <w:rPr>
                <w:sz w:val="20"/>
              </w:rPr>
              <w:t>extensiv</w:t>
            </w:r>
          </w:p>
        </w:tc>
        <w:tc>
          <w:tcPr>
            <w:tcW w:w="1900" w:type="dxa"/>
            <w:tcMar>
              <w:left w:w="0" w:type="dxa"/>
              <w:right w:w="0" w:type="dxa"/>
            </w:tcMar>
          </w:tcPr>
          <w:p w14:paraId="22FC8B76" w14:textId="77777777" w:rsidR="00DA2251" w:rsidRPr="000E0A38" w:rsidRDefault="00DA2251" w:rsidP="00C63B14">
            <w:pPr>
              <w:jc w:val="center"/>
              <w:rPr>
                <w:b/>
                <w:sz w:val="20"/>
              </w:rPr>
            </w:pPr>
            <w:r w:rsidRPr="000E0A38">
              <w:rPr>
                <w:b/>
                <w:sz w:val="20"/>
              </w:rPr>
              <w:t>(3) Retentionsdach</w:t>
            </w:r>
          </w:p>
          <w:p w14:paraId="4D7EE264" w14:textId="77777777" w:rsidR="00DA2251" w:rsidRPr="000E0A38" w:rsidRDefault="00DA2251" w:rsidP="00C63B14">
            <w:pPr>
              <w:jc w:val="center"/>
              <w:rPr>
                <w:sz w:val="20"/>
              </w:rPr>
            </w:pPr>
            <w:r w:rsidRPr="000E0A38">
              <w:rPr>
                <w:sz w:val="20"/>
              </w:rPr>
              <w:t>10</w:t>
            </w:r>
            <w:r>
              <w:rPr>
                <w:sz w:val="20"/>
              </w:rPr>
              <w:t xml:space="preserve"> cm</w:t>
            </w:r>
          </w:p>
          <w:p w14:paraId="17BFFCD5" w14:textId="77777777" w:rsidR="00DA2251" w:rsidRDefault="00DA2251" w:rsidP="00C63B14">
            <w:pPr>
              <w:jc w:val="center"/>
              <w:rPr>
                <w:sz w:val="20"/>
              </w:rPr>
            </w:pPr>
            <w:r w:rsidRPr="000E0A38">
              <w:rPr>
                <w:sz w:val="20"/>
              </w:rPr>
              <w:t>28,5</w:t>
            </w:r>
            <w:r>
              <w:rPr>
                <w:sz w:val="20"/>
              </w:rPr>
              <w:t xml:space="preserve"> l/m²</w:t>
            </w:r>
          </w:p>
          <w:p w14:paraId="3B533D70" w14:textId="77777777" w:rsidR="00DA2251" w:rsidRPr="000E0A38" w:rsidRDefault="00DA2251" w:rsidP="00C63B14">
            <w:pPr>
              <w:jc w:val="center"/>
              <w:rPr>
                <w:sz w:val="20"/>
              </w:rPr>
            </w:pPr>
            <w:r>
              <w:rPr>
                <w:sz w:val="20"/>
              </w:rPr>
              <w:t>extensiv</w:t>
            </w:r>
          </w:p>
        </w:tc>
        <w:tc>
          <w:tcPr>
            <w:tcW w:w="1895" w:type="dxa"/>
            <w:tcMar>
              <w:left w:w="0" w:type="dxa"/>
              <w:right w:w="0" w:type="dxa"/>
            </w:tcMar>
          </w:tcPr>
          <w:p w14:paraId="0368C529" w14:textId="77777777" w:rsidR="00DA2251" w:rsidRPr="000E0A38" w:rsidRDefault="00DA2251" w:rsidP="00C63B14">
            <w:pPr>
              <w:jc w:val="center"/>
              <w:rPr>
                <w:b/>
                <w:sz w:val="20"/>
              </w:rPr>
            </w:pPr>
            <w:r w:rsidRPr="000E0A38">
              <w:rPr>
                <w:b/>
                <w:sz w:val="20"/>
              </w:rPr>
              <w:t>(4) Gartendach</w:t>
            </w:r>
          </w:p>
          <w:p w14:paraId="656076B5" w14:textId="77777777" w:rsidR="00DA2251" w:rsidRPr="000E0A38" w:rsidRDefault="00DA2251" w:rsidP="00C63B14">
            <w:pPr>
              <w:jc w:val="center"/>
              <w:rPr>
                <w:sz w:val="20"/>
              </w:rPr>
            </w:pPr>
            <w:r>
              <w:rPr>
                <w:sz w:val="20"/>
              </w:rPr>
              <w:t>15 cm</w:t>
            </w:r>
          </w:p>
          <w:p w14:paraId="40B6DC2A" w14:textId="77777777" w:rsidR="00DA2251" w:rsidRDefault="00DA2251" w:rsidP="00C63B14">
            <w:pPr>
              <w:jc w:val="center"/>
              <w:rPr>
                <w:sz w:val="20"/>
              </w:rPr>
            </w:pPr>
            <w:r>
              <w:rPr>
                <w:sz w:val="20"/>
              </w:rPr>
              <w:t>23 l/m²</w:t>
            </w:r>
          </w:p>
          <w:p w14:paraId="42290C00" w14:textId="77777777" w:rsidR="00DA2251" w:rsidRPr="000E0A38" w:rsidRDefault="00DA2251" w:rsidP="00C63B14">
            <w:pPr>
              <w:jc w:val="center"/>
              <w:rPr>
                <w:sz w:val="20"/>
              </w:rPr>
            </w:pPr>
            <w:r>
              <w:rPr>
                <w:sz w:val="20"/>
              </w:rPr>
              <w:t>intensiv</w:t>
            </w:r>
          </w:p>
        </w:tc>
      </w:tr>
    </w:tbl>
    <w:p w14:paraId="0DA54DF1" w14:textId="77777777" w:rsidR="00DA2251" w:rsidRDefault="00DA2251" w:rsidP="00DA2251">
      <w:pPr>
        <w:ind w:firstLine="360"/>
      </w:pPr>
    </w:p>
    <w:p w14:paraId="19ABCB4E" w14:textId="77777777" w:rsidR="00DA2251" w:rsidRDefault="00DA2251" w:rsidP="00DA2251"/>
    <w:p w14:paraId="6EA31E04" w14:textId="77777777" w:rsidR="00DA2251" w:rsidRDefault="00DA2251" w:rsidP="00DA2251">
      <w:pPr>
        <w:rPr>
          <w:b/>
          <w:sz w:val="28"/>
        </w:rPr>
      </w:pPr>
    </w:p>
    <w:p w14:paraId="02C35F84" w14:textId="77777777" w:rsidR="00DA2251" w:rsidRDefault="00DA2251" w:rsidP="00DA2251">
      <w:pPr>
        <w:rPr>
          <w:b/>
          <w:sz w:val="28"/>
        </w:rPr>
      </w:pPr>
    </w:p>
    <w:p w14:paraId="1C33F956" w14:textId="2992BCB2" w:rsidR="00DA2251" w:rsidRPr="00615F34" w:rsidRDefault="00DA2251" w:rsidP="00DA2251">
      <w:pPr>
        <w:rPr>
          <w:b/>
          <w:sz w:val="22"/>
        </w:rPr>
      </w:pPr>
      <w:r w:rsidRPr="00615F34">
        <w:rPr>
          <w:b/>
          <w:sz w:val="22"/>
        </w:rPr>
        <w:t>Verdunstungsleistung</w:t>
      </w:r>
      <w:r w:rsidR="00615F34">
        <w:rPr>
          <w:b/>
          <w:sz w:val="22"/>
        </w:rPr>
        <w:t xml:space="preserve"> von Gründächern</w:t>
      </w:r>
    </w:p>
    <w:p w14:paraId="10F11C6F" w14:textId="2DBC8FBF" w:rsidR="00DA2251" w:rsidRPr="00DA2251" w:rsidRDefault="00DA2251" w:rsidP="00DA2251">
      <w:pPr>
        <w:spacing w:after="0"/>
        <w:jc w:val="both"/>
        <w:rPr>
          <w:sz w:val="22"/>
        </w:rPr>
      </w:pPr>
      <w:r w:rsidRPr="00DA2251">
        <w:rPr>
          <w:b/>
          <w:sz w:val="22"/>
        </w:rPr>
        <w:t>Im Sommer, in de</w:t>
      </w:r>
      <w:r w:rsidR="00615F34">
        <w:rPr>
          <w:b/>
          <w:sz w:val="22"/>
        </w:rPr>
        <w:t>m</w:t>
      </w:r>
      <w:r w:rsidRPr="00DA2251">
        <w:rPr>
          <w:b/>
          <w:sz w:val="22"/>
        </w:rPr>
        <w:t xml:space="preserve"> die Kühlleistung besonders nötig ist, verdunsten die Gründächer bis zu 4,88 L/Tag</w:t>
      </w:r>
      <w:r w:rsidR="00D50D49">
        <w:rPr>
          <w:b/>
          <w:sz w:val="22"/>
        </w:rPr>
        <w:t>/m²</w:t>
      </w:r>
      <w:r w:rsidRPr="00DA2251">
        <w:rPr>
          <w:b/>
          <w:sz w:val="22"/>
        </w:rPr>
        <w:t xml:space="preserve">. </w:t>
      </w:r>
      <w:r w:rsidRPr="00DA2251">
        <w:rPr>
          <w:sz w:val="22"/>
        </w:rPr>
        <w:t>Dabei gibt es jedoch große Unterschiede zwischen den einzelnen Gründachsystemen. Diese lassen sich in erster Linie auf die Größe und Art der Wasserspeicherschicht, die Substratmächtigkeit und die Vegetation zurückführen.</w:t>
      </w:r>
    </w:p>
    <w:p w14:paraId="0CDC7DAF" w14:textId="581381F3" w:rsidR="00DA2251" w:rsidRPr="00DA2251" w:rsidRDefault="00DA2251" w:rsidP="00DA2251">
      <w:pPr>
        <w:spacing w:after="0"/>
        <w:jc w:val="both"/>
        <w:rPr>
          <w:sz w:val="22"/>
        </w:rPr>
      </w:pPr>
      <w:r w:rsidRPr="00DA2251">
        <w:rPr>
          <w:b/>
          <w:sz w:val="22"/>
        </w:rPr>
        <w:t>Ein größerer Wasserspeicher erhöht die Verdunstungsleistung</w:t>
      </w:r>
      <w:r w:rsidRPr="00DA2251">
        <w:rPr>
          <w:sz w:val="22"/>
        </w:rPr>
        <w:t xml:space="preserve"> – das zeigt der Vergleich zwischen Naturdach und Retentionsdach</w:t>
      </w:r>
      <w:r w:rsidR="00615F34">
        <w:rPr>
          <w:sz w:val="22"/>
        </w:rPr>
        <w:t>,</w:t>
      </w:r>
      <w:r w:rsidRPr="00DA2251">
        <w:rPr>
          <w:sz w:val="22"/>
        </w:rPr>
        <w:t xml:space="preserve"> zwei extensive Systeme, die sich bei dieser Untersuchung ausschließlich in der Größe ihrer Wasserspeicherschicht unterscheiden.</w:t>
      </w:r>
    </w:p>
    <w:p w14:paraId="01CE4E43" w14:textId="70A8B473" w:rsidR="00DA2251" w:rsidRPr="00DA2251" w:rsidRDefault="00DA2251" w:rsidP="00DA2251">
      <w:pPr>
        <w:jc w:val="both"/>
        <w:rPr>
          <w:sz w:val="22"/>
        </w:rPr>
      </w:pPr>
      <w:r w:rsidRPr="00DA2251">
        <w:rPr>
          <w:b/>
          <w:sz w:val="22"/>
        </w:rPr>
        <w:t xml:space="preserve">Extensive Gründächer mit großem Wasserspeicher verdunsten ähnlich viel wie intensive </w:t>
      </w:r>
      <w:r w:rsidR="00D50D49">
        <w:rPr>
          <w:b/>
          <w:sz w:val="22"/>
        </w:rPr>
        <w:t>Gründ</w:t>
      </w:r>
      <w:r w:rsidRPr="00DA2251">
        <w:rPr>
          <w:b/>
          <w:sz w:val="22"/>
        </w:rPr>
        <w:t>achsysteme</w:t>
      </w:r>
      <w:r w:rsidRPr="00DA2251">
        <w:rPr>
          <w:sz w:val="22"/>
        </w:rPr>
        <w:t>. Obwohl das Gartendach mit 15 cm Substrat</w:t>
      </w:r>
      <w:r w:rsidR="00D50D49">
        <w:rPr>
          <w:sz w:val="22"/>
        </w:rPr>
        <w:t>höhe</w:t>
      </w:r>
      <w:r w:rsidRPr="00DA2251">
        <w:rPr>
          <w:sz w:val="22"/>
        </w:rPr>
        <w:t xml:space="preserve"> und Grasvegetation einen deutlich mächtigeren Aufbau als das Retentionsdach hat, erreicht das Retentionsdach aufgrund des besonders großen Wasserspeichers ähnlich hohe Verdunstungswerte wie das intensiv begrünte Dach.</w:t>
      </w:r>
    </w:p>
    <w:p w14:paraId="629D0FD8" w14:textId="77777777" w:rsidR="00DA2251" w:rsidRDefault="00DA2251" w:rsidP="00DA2251">
      <w:r>
        <w:rPr>
          <w:noProof/>
          <w:lang w:eastAsia="de-DE"/>
        </w:rPr>
        <w:drawing>
          <wp:inline distT="0" distB="0" distL="0" distR="0" wp14:anchorId="497C54F9" wp14:editId="41D4AC20">
            <wp:extent cx="6223553" cy="2909454"/>
            <wp:effectExtent l="0" t="0" r="635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6049" b="3212"/>
                    <a:stretch/>
                  </pic:blipFill>
                  <pic:spPr bwMode="auto">
                    <a:xfrm>
                      <a:off x="0" y="0"/>
                      <a:ext cx="6224270" cy="2909789"/>
                    </a:xfrm>
                    <a:prstGeom prst="rect">
                      <a:avLst/>
                    </a:prstGeom>
                    <a:noFill/>
                    <a:ln>
                      <a:noFill/>
                    </a:ln>
                    <a:extLst>
                      <a:ext uri="{53640926-AAD7-44D8-BBD7-CCE9431645EC}">
                        <a14:shadowObscured xmlns:a14="http://schemas.microsoft.com/office/drawing/2010/main"/>
                      </a:ext>
                    </a:extLst>
                  </pic:spPr>
                </pic:pic>
              </a:graphicData>
            </a:graphic>
          </wp:inline>
        </w:drawing>
      </w:r>
    </w:p>
    <w:p w14:paraId="3E75B174" w14:textId="6C3424A0" w:rsidR="00DA2251" w:rsidRPr="00DA2251" w:rsidRDefault="00DA2251" w:rsidP="00DA2251">
      <w:pPr>
        <w:jc w:val="both"/>
        <w:rPr>
          <w:sz w:val="22"/>
        </w:rPr>
      </w:pPr>
      <w:r w:rsidRPr="00DA2251">
        <w:rPr>
          <w:sz w:val="22"/>
        </w:rPr>
        <w:t xml:space="preserve">Obwohl der Sommer </w:t>
      </w:r>
      <w:r w:rsidR="00A8395F" w:rsidRPr="00DA2251">
        <w:rPr>
          <w:sz w:val="22"/>
        </w:rPr>
        <w:t>2021</w:t>
      </w:r>
      <w:r w:rsidR="00A8395F">
        <w:rPr>
          <w:sz w:val="22"/>
        </w:rPr>
        <w:t xml:space="preserve"> </w:t>
      </w:r>
      <w:r w:rsidRPr="00DA2251">
        <w:rPr>
          <w:sz w:val="22"/>
        </w:rPr>
        <w:t xml:space="preserve">insgesamt regenreich war, gab es in der zweiten Juni-Hälfte auch eine längere Trockenzeit. Aufgrund des Wassermangels liegen die mittleren Verdunstungswerte von Spardach und Naturdach nur minimal höher als im Mai und Juli. Das Retentionsdach und Gartendach hingegen zeigen eine deutlich gesteigerte Verdunstungsleistung. Ein großer Wasserspeicher ist also ein klarer Vorteil für Gründächer in Trockenzeiten, denn die Vegetation bleibt vital und die Kühlleistung durch Verdunstung entfaltet genau in diesen Phasen ihre volle Wirkung. </w:t>
      </w:r>
    </w:p>
    <w:p w14:paraId="442593C5" w14:textId="13689A4F" w:rsidR="00DA2251" w:rsidRDefault="00DA2251" w:rsidP="00DA2251"/>
    <w:p w14:paraId="2EF48458" w14:textId="7585EDEC" w:rsidR="004639A0" w:rsidRDefault="004639A0" w:rsidP="00DA2251"/>
    <w:p w14:paraId="2E055B4A" w14:textId="1E8BF6BC" w:rsidR="004639A0" w:rsidRDefault="004639A0" w:rsidP="00DA2251"/>
    <w:p w14:paraId="7A853D65" w14:textId="6491473F" w:rsidR="004639A0" w:rsidRDefault="004639A0" w:rsidP="00DA2251"/>
    <w:p w14:paraId="346729F5" w14:textId="77777777" w:rsidR="004639A0" w:rsidRDefault="004639A0" w:rsidP="00DA2251"/>
    <w:p w14:paraId="70A2C43B" w14:textId="4083E98F" w:rsidR="00DA2251" w:rsidRPr="00A8395F" w:rsidRDefault="00DA2251" w:rsidP="00DA2251">
      <w:pPr>
        <w:rPr>
          <w:b/>
          <w:sz w:val="22"/>
        </w:rPr>
      </w:pPr>
      <w:r w:rsidRPr="00A8395F">
        <w:rPr>
          <w:b/>
          <w:sz w:val="22"/>
        </w:rPr>
        <w:lastRenderedPageBreak/>
        <w:t>Kühlleistung</w:t>
      </w:r>
      <w:r w:rsidR="00A8395F">
        <w:rPr>
          <w:b/>
          <w:sz w:val="22"/>
        </w:rPr>
        <w:t xml:space="preserve"> durch Verdunstung</w:t>
      </w:r>
    </w:p>
    <w:p w14:paraId="2F4EF934" w14:textId="77777777" w:rsidR="00DA2251" w:rsidRPr="00DA2251" w:rsidRDefault="00DA2251" w:rsidP="00DA2251">
      <w:pPr>
        <w:jc w:val="both"/>
        <w:rPr>
          <w:sz w:val="22"/>
        </w:rPr>
      </w:pPr>
      <w:r w:rsidRPr="00A8395F">
        <w:rPr>
          <w:b/>
          <w:sz w:val="22"/>
        </w:rPr>
        <w:t>Gründachsysteme mit hoher Verdunstungsleistung haben die stärkste natürliche Kühlleistung:</w:t>
      </w:r>
      <w:r w:rsidRPr="00A8395F">
        <w:rPr>
          <w:sz w:val="22"/>
        </w:rPr>
        <w:t xml:space="preserve"> Sowohl die Substrattemperatur, als auch die Lufttemperatur auf Ebene der Vegetation sind deutlich niedriger für die beiden Gründachsysteme mit hoher Verdunstungsleistung. Dies zeigt sich nicht nur an einzelnen heißen Tagen, sondern für ganze Monatsmittel: Um einen</w:t>
      </w:r>
      <w:r w:rsidRPr="00DA2251">
        <w:rPr>
          <w:sz w:val="22"/>
        </w:rPr>
        <w:t xml:space="preserve"> „durchschnittlichen Junitag“ darzustellen, wurde für jede Stunde ein Mittelwert aus 30 einzelnen Tagen gebildet: Während das Substrat des Daches mit geringer Substrat- und Wasserspeicherschicht in den Mittagsstunden im Durchschnitt eine Temperatur von beinahe 30 °C erreicht, misst das Substrat des Retentionsdaches lediglich 22 °C. Die Differenz der Lufttemperatur zwischen Spardach und Retentionsdach liegt mittags im Schnitt bei über 3,5 °C. </w:t>
      </w:r>
    </w:p>
    <w:p w14:paraId="03BB1DC8" w14:textId="77777777" w:rsidR="00DA2251" w:rsidRDefault="00DA2251" w:rsidP="00DA2251">
      <w:pPr>
        <w:jc w:val="both"/>
      </w:pPr>
    </w:p>
    <w:p w14:paraId="3C72259F" w14:textId="7A07B1FC" w:rsidR="00DA2251" w:rsidRDefault="00DA2251" w:rsidP="00DA2251">
      <w:pPr>
        <w:jc w:val="both"/>
      </w:pPr>
      <w:r>
        <w:rPr>
          <w:noProof/>
          <w:lang w:eastAsia="de-DE"/>
        </w:rPr>
        <w:drawing>
          <wp:inline distT="0" distB="0" distL="0" distR="0" wp14:anchorId="16DC0F09" wp14:editId="133983B8">
            <wp:extent cx="2708564" cy="244332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3352" b="12688"/>
                    <a:stretch/>
                  </pic:blipFill>
                  <pic:spPr bwMode="auto">
                    <a:xfrm>
                      <a:off x="0" y="0"/>
                      <a:ext cx="2735308" cy="246744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207EED35" wp14:editId="405EC90B">
            <wp:extent cx="2659002" cy="2426157"/>
            <wp:effectExtent l="0" t="0" r="825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3011" b="12847"/>
                    <a:stretch/>
                  </pic:blipFill>
                  <pic:spPr bwMode="auto">
                    <a:xfrm>
                      <a:off x="0" y="0"/>
                      <a:ext cx="2677463" cy="2443001"/>
                    </a:xfrm>
                    <a:prstGeom prst="rect">
                      <a:avLst/>
                    </a:prstGeom>
                    <a:noFill/>
                    <a:ln>
                      <a:noFill/>
                    </a:ln>
                    <a:extLst>
                      <a:ext uri="{53640926-AAD7-44D8-BBD7-CCE9431645EC}">
                        <a14:shadowObscured xmlns:a14="http://schemas.microsoft.com/office/drawing/2010/main"/>
                      </a:ext>
                    </a:extLst>
                  </pic:spPr>
                </pic:pic>
              </a:graphicData>
            </a:graphic>
          </wp:inline>
        </w:drawing>
      </w:r>
    </w:p>
    <w:p w14:paraId="14441865" w14:textId="77777777" w:rsidR="004639A0" w:rsidRDefault="004639A0" w:rsidP="00DA2251">
      <w:pPr>
        <w:jc w:val="both"/>
      </w:pPr>
    </w:p>
    <w:p w14:paraId="021A25CC" w14:textId="239CE340" w:rsidR="00DA2251" w:rsidRDefault="00DA2251" w:rsidP="00DA2251">
      <w:pPr>
        <w:jc w:val="both"/>
        <w:rPr>
          <w:sz w:val="22"/>
        </w:rPr>
      </w:pPr>
      <w:r w:rsidRPr="00DA2251">
        <w:rPr>
          <w:sz w:val="22"/>
        </w:rPr>
        <w:t>Diese Untersch</w:t>
      </w:r>
      <w:r w:rsidR="00522C53">
        <w:rPr>
          <w:sz w:val="22"/>
        </w:rPr>
        <w:t>ie</w:t>
      </w:r>
      <w:r w:rsidRPr="00DA2251">
        <w:rPr>
          <w:sz w:val="22"/>
        </w:rPr>
        <w:t xml:space="preserve">de lassen </w:t>
      </w:r>
      <w:r w:rsidR="00522C53">
        <w:rPr>
          <w:sz w:val="22"/>
        </w:rPr>
        <w:t xml:space="preserve">sich </w:t>
      </w:r>
      <w:r w:rsidRPr="00DA2251">
        <w:rPr>
          <w:sz w:val="22"/>
        </w:rPr>
        <w:t xml:space="preserve">neben der Verdunstungsleistung auch auf die Substratfeuchtigkeit zurückführen: Das Dachsystem mit dem permanenten Wasseranstau hat im Schnitt eine Substratfeuchte von 26,5 % und damit 10 % höher als das Gründachsystem mit identischem Aufbau aber kleinerer Wasserspeicherschicht. Die hohen Substratfeuchtewerte kommen durch eine Technik zu Stande, die die Rückführung des im Retentionsraum gespeicherten Wassers in die Substratschicht ermöglicht: Sogenannte Kapillarbrücken verbinden die Wasserspeicherschicht mit dem Substrat und ermöglichen den Aufstieg des Wassers mittels Kapillarkräften. Das auf diese Weise gebildete passive Bewässerungssystem ermöglicht besonders hohe Verdunstungsraten auch in Zeiten, in denen andere Gründachsysteme trockenfallen. </w:t>
      </w:r>
    </w:p>
    <w:p w14:paraId="54C6DA01" w14:textId="587DA572" w:rsidR="003B0050" w:rsidRPr="003B0050" w:rsidRDefault="003B0050" w:rsidP="00DA2251">
      <w:pPr>
        <w:jc w:val="both"/>
        <w:rPr>
          <w:b/>
          <w:bCs/>
          <w:sz w:val="22"/>
        </w:rPr>
      </w:pPr>
      <w:r>
        <w:rPr>
          <w:b/>
          <w:bCs/>
          <w:sz w:val="22"/>
        </w:rPr>
        <w:t>Wichtige Ergebnisse für die Auswahl des Gründachsystems</w:t>
      </w:r>
    </w:p>
    <w:p w14:paraId="4028BF34" w14:textId="7F7E3480" w:rsidR="00DA2251" w:rsidRPr="00DA2251" w:rsidRDefault="00DA2251" w:rsidP="00DA2251">
      <w:pPr>
        <w:jc w:val="both"/>
        <w:rPr>
          <w:sz w:val="22"/>
        </w:rPr>
      </w:pPr>
      <w:r w:rsidRPr="00DA2251">
        <w:rPr>
          <w:sz w:val="22"/>
        </w:rPr>
        <w:t xml:space="preserve">Die Ergebnisse zeigen einerseits, dass große Unterschiede zwischen verschiedenen Gründachsystemen hinsichtlich ihrer Auswirkungen auf das Mikroklima bestehen. Dazu bietet die Studie wichtige Anhaltspunkte dahingehend, welche Komponenten eines Gründaches für die Anpassung von Städten an den Klimawandel eine besonders große Rolle spielen: Eine große Wasserspeicherschicht sorgt nicht nur für üppiges Grün in Trockenzeiten, sondern entlastet die städtischen Kanäle, beugt Überflutungen durch Regenwasserrückhalt vor und sorgt für eine maximale Verdunstungs- und Kühlleistung. Auch Dächer mit mächtigen Substratschichten und </w:t>
      </w:r>
      <w:r w:rsidRPr="00DA2251">
        <w:rPr>
          <w:sz w:val="22"/>
        </w:rPr>
        <w:lastRenderedPageBreak/>
        <w:t>verdunstungsstarker Grasvegetation sind in der Lage</w:t>
      </w:r>
      <w:r w:rsidR="00A036B8">
        <w:rPr>
          <w:sz w:val="22"/>
        </w:rPr>
        <w:t>,</w:t>
      </w:r>
      <w:r w:rsidRPr="00DA2251">
        <w:rPr>
          <w:sz w:val="22"/>
        </w:rPr>
        <w:t xml:space="preserve"> den natürlichen Wasserkreislauf wiederherzustellen, auch wenn diese anfälliger für Trockenstress sind. </w:t>
      </w:r>
    </w:p>
    <w:p w14:paraId="763BFB4A" w14:textId="47146B7D" w:rsidR="00DA2251" w:rsidRPr="00DA2251" w:rsidRDefault="00DA2251" w:rsidP="00DA2251">
      <w:pPr>
        <w:jc w:val="both"/>
        <w:rPr>
          <w:color w:val="7F7F7F" w:themeColor="text1" w:themeTint="80"/>
          <w:sz w:val="22"/>
        </w:rPr>
      </w:pPr>
      <w:r w:rsidRPr="00DA2251">
        <w:rPr>
          <w:sz w:val="22"/>
        </w:rPr>
        <w:t>Folglich macht es nicht nur einen wesentlichen Unterschied, ob ein Dach begrünt oder un</w:t>
      </w:r>
      <w:r w:rsidR="00A036B8">
        <w:rPr>
          <w:sz w:val="22"/>
        </w:rPr>
        <w:t>beg</w:t>
      </w:r>
      <w:r w:rsidRPr="00DA2251">
        <w:rPr>
          <w:sz w:val="22"/>
        </w:rPr>
        <w:t xml:space="preserve">rünt ist, sondern auch mit welchem Gründachsystem es begrünt wurde! An der Messstation, die im Rahmen der vorgestellten Studie errichtet wurde, werden weiterhin Daten erhoben, die zu einem besseren Verständnis der mikroklimatischen Leistungen von Gründächern beitragen. Derartige Informationen sind notwendig, um die große Vielfalt der Gründachsysteme zu überblicken und die richtigen Entscheidungen für die Gestaltung zukunftsfähiger und lebenswerter Städte im Zeitalter des Klimawandels zu treffen. </w:t>
      </w:r>
    </w:p>
    <w:p w14:paraId="7051B6D9" w14:textId="6A9263BC" w:rsidR="000E3C13" w:rsidRDefault="000E3C13" w:rsidP="00DB1377">
      <w:pPr>
        <w:rPr>
          <w:iCs/>
          <w:sz w:val="22"/>
        </w:rPr>
      </w:pPr>
      <w:r>
        <w:rPr>
          <w:iCs/>
          <w:sz w:val="22"/>
        </w:rPr>
        <w:tab/>
      </w:r>
      <w:r>
        <w:rPr>
          <w:iCs/>
          <w:sz w:val="22"/>
        </w:rPr>
        <w:tab/>
      </w:r>
      <w:r>
        <w:rPr>
          <w:iCs/>
          <w:sz w:val="22"/>
        </w:rPr>
        <w:tab/>
      </w:r>
    </w:p>
    <w:p w14:paraId="52C6E112" w14:textId="1438C22C" w:rsidR="00AD67AE" w:rsidRPr="005F5351" w:rsidRDefault="00AD67AE" w:rsidP="00AD67AE">
      <w:pPr>
        <w:spacing w:after="0" w:line="300" w:lineRule="exact"/>
        <w:jc w:val="both"/>
        <w:rPr>
          <w:rFonts w:cstheme="majorHAnsi"/>
          <w:sz w:val="22"/>
          <w:u w:val="single"/>
        </w:rPr>
      </w:pPr>
      <w:r w:rsidRPr="005F5351">
        <w:rPr>
          <w:rFonts w:cstheme="majorHAnsi"/>
          <w:sz w:val="22"/>
          <w:u w:val="single"/>
        </w:rPr>
        <w:t>Autor</w:t>
      </w:r>
      <w:r w:rsidR="006B5C15">
        <w:rPr>
          <w:rFonts w:cstheme="majorHAnsi"/>
          <w:sz w:val="22"/>
          <w:u w:val="single"/>
        </w:rPr>
        <w:t>en</w:t>
      </w:r>
      <w:r w:rsidRPr="005F5351">
        <w:rPr>
          <w:rFonts w:cstheme="majorHAnsi"/>
          <w:sz w:val="22"/>
          <w:u w:val="single"/>
        </w:rPr>
        <w:t xml:space="preserve">: </w:t>
      </w:r>
    </w:p>
    <w:p w14:paraId="32B54436" w14:textId="603510EA" w:rsidR="00AD67AE" w:rsidRDefault="00AD67AE" w:rsidP="00AD67AE">
      <w:pPr>
        <w:spacing w:after="0" w:line="300" w:lineRule="exact"/>
        <w:jc w:val="both"/>
        <w:rPr>
          <w:rFonts w:cstheme="majorHAnsi"/>
          <w:szCs w:val="20"/>
        </w:rPr>
      </w:pPr>
    </w:p>
    <w:p w14:paraId="6F0688D5" w14:textId="6E721742" w:rsidR="00AD67AE" w:rsidRPr="005F5351" w:rsidRDefault="00AD67AE" w:rsidP="00AD67AE">
      <w:pPr>
        <w:spacing w:after="0" w:line="240" w:lineRule="auto"/>
        <w:rPr>
          <w:rFonts w:cstheme="majorHAnsi"/>
          <w:b/>
          <w:bCs/>
          <w:sz w:val="22"/>
        </w:rPr>
      </w:pPr>
      <w:r w:rsidRPr="005F5351">
        <w:rPr>
          <w:rFonts w:cstheme="majorHAnsi"/>
          <w:b/>
          <w:bCs/>
          <w:sz w:val="22"/>
        </w:rPr>
        <w:t>M.</w:t>
      </w:r>
      <w:r>
        <w:rPr>
          <w:rFonts w:cstheme="majorHAnsi"/>
          <w:b/>
          <w:bCs/>
          <w:sz w:val="22"/>
        </w:rPr>
        <w:t xml:space="preserve"> </w:t>
      </w:r>
      <w:r w:rsidRPr="005F5351">
        <w:rPr>
          <w:rFonts w:cstheme="majorHAnsi"/>
          <w:b/>
          <w:bCs/>
          <w:sz w:val="22"/>
        </w:rPr>
        <w:t>Eng. Dominik Gößner</w:t>
      </w:r>
    </w:p>
    <w:p w14:paraId="68BC3C93" w14:textId="676EAC56" w:rsidR="00AD67AE" w:rsidRDefault="00AD67AE" w:rsidP="00AD67AE">
      <w:pPr>
        <w:spacing w:after="0" w:line="240" w:lineRule="auto"/>
        <w:rPr>
          <w:rFonts w:cstheme="majorHAnsi"/>
          <w:sz w:val="22"/>
        </w:rPr>
      </w:pPr>
      <w:r>
        <w:rPr>
          <w:rFonts w:cstheme="majorHAnsi"/>
          <w:sz w:val="22"/>
        </w:rPr>
        <w:t>Leiter Forschung &amp; Entwicklung, Produktmanagement</w:t>
      </w:r>
    </w:p>
    <w:p w14:paraId="1BD65E19" w14:textId="09E4AC6B" w:rsidR="00F60BD9" w:rsidRDefault="00F60BD9" w:rsidP="00AD67AE">
      <w:pPr>
        <w:spacing w:after="0" w:line="240" w:lineRule="auto"/>
        <w:rPr>
          <w:rFonts w:cstheme="majorHAnsi"/>
          <w:sz w:val="22"/>
        </w:rPr>
      </w:pPr>
    </w:p>
    <w:p w14:paraId="24B7355A" w14:textId="7F74B7C3" w:rsidR="00F60BD9" w:rsidRDefault="00F60BD9" w:rsidP="00AD67AE">
      <w:pPr>
        <w:spacing w:after="0" w:line="240" w:lineRule="auto"/>
        <w:rPr>
          <w:rFonts w:cstheme="majorHAnsi"/>
          <w:b/>
          <w:bCs/>
          <w:sz w:val="22"/>
        </w:rPr>
      </w:pPr>
      <w:r>
        <w:rPr>
          <w:rFonts w:cstheme="majorHAnsi"/>
          <w:b/>
          <w:bCs/>
          <w:sz w:val="22"/>
        </w:rPr>
        <w:t>Milena Mohri</w:t>
      </w:r>
    </w:p>
    <w:p w14:paraId="79EE916B" w14:textId="77777777" w:rsidR="00F60BD9" w:rsidRDefault="00F60BD9" w:rsidP="00F60BD9">
      <w:pPr>
        <w:spacing w:after="0" w:line="240" w:lineRule="auto"/>
        <w:rPr>
          <w:rFonts w:cstheme="majorHAnsi"/>
          <w:sz w:val="22"/>
        </w:rPr>
      </w:pPr>
      <w:r>
        <w:rPr>
          <w:rFonts w:cstheme="majorHAnsi"/>
          <w:sz w:val="22"/>
        </w:rPr>
        <w:t>Forschung &amp; Entwicklung, Produktmanagement</w:t>
      </w:r>
    </w:p>
    <w:p w14:paraId="504DB9D2" w14:textId="77777777" w:rsidR="00F60BD9" w:rsidRDefault="00F60BD9" w:rsidP="00F60BD9">
      <w:pPr>
        <w:spacing w:after="0" w:line="240" w:lineRule="auto"/>
        <w:rPr>
          <w:rFonts w:cstheme="majorHAnsi"/>
          <w:sz w:val="22"/>
        </w:rPr>
      </w:pPr>
    </w:p>
    <w:p w14:paraId="72BA85AA" w14:textId="69BE95D4" w:rsidR="00AD67AE" w:rsidRPr="005F5351" w:rsidRDefault="00AD67AE" w:rsidP="00AD67AE">
      <w:pPr>
        <w:spacing w:after="0" w:line="240" w:lineRule="auto"/>
        <w:rPr>
          <w:rFonts w:cstheme="majorHAnsi"/>
          <w:sz w:val="22"/>
        </w:rPr>
      </w:pPr>
      <w:r>
        <w:rPr>
          <w:rFonts w:cstheme="majorHAnsi"/>
          <w:sz w:val="22"/>
        </w:rPr>
        <w:t>Optigrün international AG</w:t>
      </w:r>
    </w:p>
    <w:p w14:paraId="239FDE07" w14:textId="6ADF8A3A" w:rsidR="006D36E0" w:rsidRDefault="006D36E0" w:rsidP="006D36E0">
      <w:pPr>
        <w:rPr>
          <w:iCs/>
          <w:sz w:val="22"/>
        </w:rPr>
      </w:pPr>
    </w:p>
    <w:p w14:paraId="7063F544" w14:textId="1250A019" w:rsidR="00677CB3" w:rsidRDefault="00677CB3" w:rsidP="005625AF">
      <w:pPr>
        <w:spacing w:after="0" w:line="300" w:lineRule="exact"/>
        <w:jc w:val="both"/>
        <w:rPr>
          <w:rFonts w:cstheme="majorHAnsi"/>
          <w:szCs w:val="20"/>
        </w:rPr>
      </w:pPr>
    </w:p>
    <w:p w14:paraId="0D69A7A2" w14:textId="7AAAC4B4" w:rsidR="0080706C" w:rsidRPr="00DA2251" w:rsidRDefault="0080706C" w:rsidP="0080706C">
      <w:pPr>
        <w:spacing w:line="300" w:lineRule="exact"/>
        <w:rPr>
          <w:rFonts w:cstheme="majorHAnsi"/>
          <w:sz w:val="22"/>
          <w:u w:val="single"/>
        </w:rPr>
      </w:pPr>
      <w:r w:rsidRPr="00DA2251">
        <w:rPr>
          <w:rFonts w:cstheme="majorHAnsi"/>
          <w:sz w:val="22"/>
          <w:u w:val="single"/>
        </w:rPr>
        <w:t>Pressekontakt:</w:t>
      </w:r>
    </w:p>
    <w:p w14:paraId="2950AC86" w14:textId="290BB444" w:rsidR="0080706C" w:rsidRPr="00DA2251" w:rsidRDefault="00E73F5D" w:rsidP="0080706C">
      <w:pPr>
        <w:spacing w:after="80" w:line="300" w:lineRule="exact"/>
        <w:rPr>
          <w:rFonts w:cstheme="majorHAnsi"/>
          <w:b/>
          <w:sz w:val="22"/>
        </w:rPr>
      </w:pPr>
      <w:r w:rsidRPr="00DA2251">
        <w:rPr>
          <w:rFonts w:cstheme="majorHAnsi"/>
          <w:b/>
          <w:noProof/>
          <w:sz w:val="22"/>
          <w:u w:val="single"/>
          <w:lang w:eastAsia="de-DE"/>
        </w:rPr>
        <mc:AlternateContent>
          <mc:Choice Requires="wps">
            <w:drawing>
              <wp:anchor distT="0" distB="0" distL="114300" distR="114300" simplePos="0" relativeHeight="251668480" behindDoc="0" locked="0" layoutInCell="1" allowOverlap="1" wp14:anchorId="5208E59E" wp14:editId="0589D945">
                <wp:simplePos x="0" y="0"/>
                <wp:positionH relativeFrom="column">
                  <wp:posOffset>3201035</wp:posOffset>
                </wp:positionH>
                <wp:positionV relativeFrom="paragraph">
                  <wp:posOffset>187325</wp:posOffset>
                </wp:positionV>
                <wp:extent cx="2933700" cy="1214323"/>
                <wp:effectExtent l="0" t="0" r="0" b="5080"/>
                <wp:wrapNone/>
                <wp:docPr id="1" name="Textfeld 1"/>
                <wp:cNvGraphicFramePr/>
                <a:graphic xmlns:a="http://schemas.openxmlformats.org/drawingml/2006/main">
                  <a:graphicData uri="http://schemas.microsoft.com/office/word/2010/wordprocessingShape">
                    <wps:wsp>
                      <wps:cNvSpPr txBox="1"/>
                      <wps:spPr>
                        <a:xfrm>
                          <a:off x="0" y="0"/>
                          <a:ext cx="2933700" cy="1214323"/>
                        </a:xfrm>
                        <a:prstGeom prst="rect">
                          <a:avLst/>
                        </a:prstGeom>
                        <a:noFill/>
                        <a:ln w="6350">
                          <a:noFill/>
                        </a:ln>
                      </wps:spPr>
                      <wps:txbx>
                        <w:txbxContent>
                          <w:p w14:paraId="51693EB7" w14:textId="26195974" w:rsidR="0080706C" w:rsidRPr="00E73F5D" w:rsidRDefault="0080706C" w:rsidP="0080706C">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8E59E" id="_x0000_t202" coordsize="21600,21600" o:spt="202" path="m,l,21600r21600,l21600,xe">
                <v:stroke joinstyle="miter"/>
                <v:path gradientshapeok="t" o:connecttype="rect"/>
              </v:shapetype>
              <v:shape id="Textfeld 1" o:spid="_x0000_s1026" type="#_x0000_t202" style="position:absolute;margin-left:252.05pt;margin-top:14.75pt;width:231pt;height:95.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" filled="f" stroked="f" strokeweight=".5pt">
                <v:textbox>
                  <w:txbxContent>
                    <w:p w14:paraId="51693EB7" w14:textId="26195974" w:rsidR="0080706C" w:rsidRPr="00E73F5D" w:rsidRDefault="0080706C" w:rsidP="0080706C">
                      <w:pPr>
                        <w:spacing w:line="300" w:lineRule="exact"/>
                      </w:pPr>
                    </w:p>
                  </w:txbxContent>
                </v:textbox>
              </v:shape>
            </w:pict>
          </mc:Fallback>
        </mc:AlternateContent>
      </w:r>
      <w:r w:rsidR="00935A7C" w:rsidRPr="00DA2251">
        <w:rPr>
          <w:rFonts w:cstheme="majorHAnsi"/>
          <w:b/>
          <w:sz w:val="22"/>
        </w:rPr>
        <w:t>Ilona Nipp</w:t>
      </w:r>
      <w:r w:rsidR="0080706C" w:rsidRPr="00DA2251">
        <w:rPr>
          <w:rFonts w:cstheme="majorHAnsi"/>
          <w:b/>
          <w:sz w:val="22"/>
        </w:rPr>
        <w:tab/>
      </w:r>
    </w:p>
    <w:p w14:paraId="4F8B842D" w14:textId="5AAD2044" w:rsidR="00492C72" w:rsidRPr="00DA2251" w:rsidRDefault="0080706C" w:rsidP="0080706C">
      <w:pPr>
        <w:spacing w:after="80" w:line="300" w:lineRule="exact"/>
        <w:rPr>
          <w:rFonts w:cstheme="majorHAnsi"/>
          <w:sz w:val="22"/>
        </w:rPr>
      </w:pPr>
      <w:r w:rsidRPr="00DA2251">
        <w:rPr>
          <w:rFonts w:cstheme="majorHAnsi"/>
          <w:sz w:val="22"/>
        </w:rPr>
        <w:t>Marketingleiterin</w:t>
      </w:r>
    </w:p>
    <w:p w14:paraId="16F74CC6" w14:textId="151FE112" w:rsidR="0080706C" w:rsidRPr="00DA2251" w:rsidRDefault="0080706C" w:rsidP="0080706C">
      <w:pPr>
        <w:spacing w:after="80" w:line="300" w:lineRule="exact"/>
        <w:rPr>
          <w:rFonts w:cstheme="majorHAnsi"/>
          <w:sz w:val="22"/>
        </w:rPr>
      </w:pPr>
      <w:r w:rsidRPr="00DA2251">
        <w:rPr>
          <w:rFonts w:cstheme="majorHAnsi"/>
          <w:sz w:val="22"/>
        </w:rPr>
        <w:t>Optigrün international AG</w:t>
      </w:r>
      <w:r w:rsidRPr="00DA2251">
        <w:rPr>
          <w:rFonts w:cstheme="majorHAnsi"/>
          <w:sz w:val="22"/>
        </w:rPr>
        <w:tab/>
      </w:r>
    </w:p>
    <w:p w14:paraId="28491555" w14:textId="69C811C7" w:rsidR="0080706C" w:rsidRPr="00DA2251" w:rsidRDefault="0080706C" w:rsidP="0080706C">
      <w:pPr>
        <w:spacing w:after="80" w:line="300" w:lineRule="exact"/>
        <w:rPr>
          <w:rFonts w:cstheme="majorHAnsi"/>
          <w:sz w:val="22"/>
        </w:rPr>
      </w:pPr>
      <w:r w:rsidRPr="00DA2251">
        <w:rPr>
          <w:rFonts w:cstheme="majorHAnsi"/>
          <w:sz w:val="22"/>
        </w:rPr>
        <w:t>Tel. +49 7576 772 1</w:t>
      </w:r>
      <w:r w:rsidR="00935A7C" w:rsidRPr="00DA2251">
        <w:rPr>
          <w:rFonts w:cstheme="majorHAnsi"/>
          <w:sz w:val="22"/>
        </w:rPr>
        <w:t>13</w:t>
      </w:r>
      <w:r w:rsidRPr="00DA2251">
        <w:rPr>
          <w:rFonts w:cstheme="majorHAnsi"/>
          <w:sz w:val="22"/>
        </w:rPr>
        <w:tab/>
      </w:r>
      <w:r w:rsidRPr="00DA2251">
        <w:rPr>
          <w:rFonts w:cstheme="majorHAnsi"/>
          <w:sz w:val="22"/>
        </w:rPr>
        <w:tab/>
      </w:r>
      <w:r w:rsidRPr="00DA2251">
        <w:rPr>
          <w:rFonts w:cstheme="majorHAnsi"/>
          <w:sz w:val="22"/>
        </w:rPr>
        <w:tab/>
      </w:r>
    </w:p>
    <w:p w14:paraId="16C429B6" w14:textId="74F7624E" w:rsidR="0080706C" w:rsidRDefault="008A0ED4" w:rsidP="00935A7C">
      <w:pPr>
        <w:spacing w:after="80" w:line="300" w:lineRule="exact"/>
        <w:ind w:right="-483"/>
        <w:rPr>
          <w:rFonts w:cstheme="majorHAnsi"/>
          <w:sz w:val="22"/>
        </w:rPr>
      </w:pPr>
      <w:hyperlink r:id="rId11" w:history="1">
        <w:r w:rsidR="00F11045" w:rsidRPr="00D80167">
          <w:rPr>
            <w:rStyle w:val="Hyperlink"/>
            <w:rFonts w:cstheme="majorHAnsi"/>
            <w:sz w:val="22"/>
          </w:rPr>
          <w:t>i.nipp@optigruen.de</w:t>
        </w:r>
      </w:hyperlink>
    </w:p>
    <w:p w14:paraId="7A2C62D7" w14:textId="58866FEA" w:rsidR="00F11045" w:rsidRDefault="00A5642E" w:rsidP="00935A7C">
      <w:pPr>
        <w:spacing w:after="80" w:line="300" w:lineRule="exact"/>
        <w:ind w:right="-483"/>
        <w:rPr>
          <w:rFonts w:cstheme="majorHAnsi"/>
          <w:sz w:val="22"/>
        </w:rPr>
      </w:pPr>
      <w:r>
        <w:rPr>
          <w:rFonts w:cstheme="majorHAnsi"/>
          <w:noProof/>
          <w:sz w:val="22"/>
        </w:rPr>
        <w:drawing>
          <wp:anchor distT="0" distB="0" distL="114300" distR="114300" simplePos="0" relativeHeight="251667455" behindDoc="0" locked="0" layoutInCell="1" allowOverlap="1" wp14:anchorId="0D3B4BAD" wp14:editId="3D102E28">
            <wp:simplePos x="0" y="0"/>
            <wp:positionH relativeFrom="column">
              <wp:posOffset>-8890</wp:posOffset>
            </wp:positionH>
            <wp:positionV relativeFrom="paragraph">
              <wp:posOffset>64135</wp:posOffset>
            </wp:positionV>
            <wp:extent cx="2857500" cy="2143279"/>
            <wp:effectExtent l="0" t="0" r="0" b="9525"/>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57500" cy="2143279"/>
                    </a:xfrm>
                    <a:prstGeom prst="rect">
                      <a:avLst/>
                    </a:prstGeom>
                  </pic:spPr>
                </pic:pic>
              </a:graphicData>
            </a:graphic>
            <wp14:sizeRelH relativeFrom="page">
              <wp14:pctWidth>0</wp14:pctWidth>
            </wp14:sizeRelH>
            <wp14:sizeRelV relativeFrom="page">
              <wp14:pctHeight>0</wp14:pctHeight>
            </wp14:sizeRelV>
          </wp:anchor>
        </w:drawing>
      </w:r>
    </w:p>
    <w:p w14:paraId="47690B53" w14:textId="68824D2B" w:rsidR="00066FEB" w:rsidRDefault="00066FEB" w:rsidP="00A5642E">
      <w:pPr>
        <w:spacing w:after="80" w:line="300" w:lineRule="exact"/>
        <w:ind w:left="4950" w:right="-767"/>
        <w:rPr>
          <w:rFonts w:cstheme="majorHAnsi"/>
          <w:sz w:val="22"/>
        </w:rPr>
      </w:pPr>
      <w:r>
        <w:rPr>
          <w:rFonts w:cstheme="majorHAnsi"/>
          <w:sz w:val="22"/>
        </w:rPr>
        <w:t>Schichtaufbau Optigrün-</w:t>
      </w:r>
      <w:r w:rsidR="00A5642E">
        <w:rPr>
          <w:rFonts w:cstheme="majorHAnsi"/>
          <w:sz w:val="22"/>
        </w:rPr>
        <w:t>Systemlösung Retentionsdach</w:t>
      </w:r>
      <w:r w:rsidR="00A5642E">
        <w:rPr>
          <w:rFonts w:cstheme="majorHAnsi"/>
          <w:sz w:val="22"/>
        </w:rPr>
        <w:tab/>
      </w:r>
      <w:r w:rsidR="00A5642E">
        <w:rPr>
          <w:rFonts w:cstheme="majorHAnsi"/>
          <w:sz w:val="22"/>
        </w:rPr>
        <w:tab/>
      </w:r>
      <w:r w:rsidR="00A5642E">
        <w:rPr>
          <w:rFonts w:cstheme="majorHAnsi"/>
          <w:sz w:val="22"/>
        </w:rPr>
        <w:tab/>
      </w:r>
      <w:r w:rsidR="00A5642E">
        <w:rPr>
          <w:rFonts w:cstheme="majorHAnsi"/>
          <w:sz w:val="22"/>
        </w:rPr>
        <w:tab/>
      </w:r>
      <w:r w:rsidR="00A5642E">
        <w:rPr>
          <w:rFonts w:cstheme="majorHAnsi"/>
          <w:sz w:val="22"/>
        </w:rPr>
        <w:tab/>
      </w:r>
      <w:r w:rsidR="00A5642E">
        <w:rPr>
          <w:rFonts w:cstheme="majorHAnsi"/>
          <w:sz w:val="22"/>
        </w:rPr>
        <w:tab/>
      </w:r>
      <w:r w:rsidR="00A5642E">
        <w:rPr>
          <w:rFonts w:cstheme="majorHAnsi"/>
          <w:sz w:val="22"/>
        </w:rPr>
        <w:tab/>
      </w:r>
      <w:r w:rsidR="00A5642E">
        <w:rPr>
          <w:rFonts w:cstheme="majorHAnsi"/>
          <w:sz w:val="22"/>
        </w:rPr>
        <w:tab/>
      </w:r>
      <w:r w:rsidR="00A5642E">
        <w:rPr>
          <w:rFonts w:cstheme="majorHAnsi"/>
          <w:sz w:val="22"/>
        </w:rPr>
        <w:tab/>
      </w:r>
      <w:r w:rsidR="00A5642E">
        <w:rPr>
          <w:rFonts w:cstheme="majorHAnsi"/>
          <w:sz w:val="22"/>
        </w:rPr>
        <w:tab/>
      </w:r>
      <w:r w:rsidR="00A5642E">
        <w:rPr>
          <w:rFonts w:cstheme="majorHAnsi"/>
          <w:sz w:val="22"/>
        </w:rPr>
        <w:tab/>
      </w:r>
      <w:r>
        <w:rPr>
          <w:rFonts w:cstheme="majorHAnsi"/>
          <w:sz w:val="22"/>
        </w:rPr>
        <w:tab/>
      </w:r>
      <w:r>
        <w:rPr>
          <w:rFonts w:cstheme="majorHAnsi"/>
          <w:sz w:val="22"/>
        </w:rPr>
        <w:tab/>
      </w:r>
      <w:r>
        <w:rPr>
          <w:rFonts w:cstheme="majorHAnsi"/>
          <w:sz w:val="22"/>
        </w:rPr>
        <w:tab/>
      </w:r>
      <w:r>
        <w:rPr>
          <w:rFonts w:cstheme="majorHAnsi"/>
          <w:sz w:val="22"/>
        </w:rPr>
        <w:tab/>
      </w:r>
      <w:r>
        <w:rPr>
          <w:rFonts w:cstheme="majorHAnsi"/>
          <w:sz w:val="22"/>
        </w:rPr>
        <w:tab/>
      </w:r>
      <w:r>
        <w:rPr>
          <w:rFonts w:cstheme="majorHAnsi"/>
          <w:sz w:val="22"/>
        </w:rPr>
        <w:tab/>
      </w:r>
      <w:r>
        <w:rPr>
          <w:rFonts w:cstheme="majorHAnsi"/>
          <w:sz w:val="22"/>
        </w:rPr>
        <w:tab/>
      </w:r>
      <w:r w:rsidR="00A5642E">
        <w:rPr>
          <w:rFonts w:cstheme="majorHAnsi"/>
          <w:sz w:val="22"/>
        </w:rPr>
        <w:tab/>
      </w:r>
      <w:r w:rsidR="00A5642E">
        <w:rPr>
          <w:rFonts w:cstheme="majorHAnsi"/>
          <w:sz w:val="22"/>
        </w:rPr>
        <w:tab/>
      </w:r>
      <w:r w:rsidR="00A5642E">
        <w:rPr>
          <w:rFonts w:cstheme="majorHAnsi"/>
          <w:sz w:val="22"/>
        </w:rPr>
        <w:tab/>
      </w:r>
      <w:r w:rsidR="00A5642E">
        <w:rPr>
          <w:rFonts w:cstheme="majorHAnsi"/>
          <w:sz w:val="22"/>
        </w:rPr>
        <w:tab/>
      </w:r>
      <w:r>
        <w:rPr>
          <w:rFonts w:cstheme="majorHAnsi"/>
          <w:sz w:val="22"/>
        </w:rPr>
        <w:t>Bildquelle Optigrün international AG</w:t>
      </w:r>
    </w:p>
    <w:p w14:paraId="7A564485" w14:textId="341D0646" w:rsidR="00066FEB" w:rsidRDefault="00066FEB" w:rsidP="00935A7C">
      <w:pPr>
        <w:spacing w:after="80" w:line="300" w:lineRule="exact"/>
        <w:ind w:right="-483"/>
        <w:rPr>
          <w:rFonts w:cstheme="majorHAnsi"/>
          <w:sz w:val="22"/>
        </w:rPr>
      </w:pPr>
    </w:p>
    <w:p w14:paraId="4FB4642B" w14:textId="374A823A" w:rsidR="00066FEB" w:rsidRDefault="00A5642E" w:rsidP="00935A7C">
      <w:pPr>
        <w:spacing w:after="80" w:line="300" w:lineRule="exact"/>
        <w:ind w:right="-483"/>
        <w:rPr>
          <w:rFonts w:cstheme="majorHAnsi"/>
          <w:sz w:val="22"/>
        </w:rPr>
      </w:pPr>
      <w:r>
        <w:rPr>
          <w:rFonts w:cstheme="majorHAnsi"/>
          <w:sz w:val="22"/>
        </w:rPr>
        <w:tab/>
      </w:r>
      <w:r>
        <w:rPr>
          <w:rFonts w:cstheme="majorHAnsi"/>
          <w:sz w:val="22"/>
        </w:rPr>
        <w:tab/>
      </w:r>
      <w:r>
        <w:rPr>
          <w:rFonts w:cstheme="majorHAnsi"/>
          <w:sz w:val="22"/>
        </w:rPr>
        <w:tab/>
      </w:r>
      <w:r>
        <w:rPr>
          <w:rFonts w:cstheme="majorHAnsi"/>
          <w:sz w:val="22"/>
        </w:rPr>
        <w:tab/>
      </w:r>
      <w:r>
        <w:rPr>
          <w:rFonts w:cstheme="majorHAnsi"/>
          <w:sz w:val="22"/>
        </w:rPr>
        <w:tab/>
      </w:r>
      <w:r>
        <w:rPr>
          <w:rFonts w:cstheme="majorHAnsi"/>
          <w:sz w:val="22"/>
        </w:rPr>
        <w:tab/>
      </w:r>
    </w:p>
    <w:p w14:paraId="2E3D5215" w14:textId="6CBD4A73" w:rsidR="00066FEB" w:rsidRDefault="00066FEB" w:rsidP="00935A7C">
      <w:pPr>
        <w:spacing w:after="80" w:line="300" w:lineRule="exact"/>
        <w:ind w:right="-483"/>
        <w:rPr>
          <w:rFonts w:cstheme="majorHAnsi"/>
          <w:sz w:val="22"/>
        </w:rPr>
      </w:pPr>
    </w:p>
    <w:p w14:paraId="0E83D448" w14:textId="126D0819" w:rsidR="00066FEB" w:rsidRDefault="004639A0" w:rsidP="00935A7C">
      <w:pPr>
        <w:spacing w:after="80" w:line="300" w:lineRule="exact"/>
        <w:ind w:right="-483"/>
        <w:rPr>
          <w:rFonts w:cstheme="majorHAnsi"/>
          <w:sz w:val="22"/>
        </w:rPr>
      </w:pPr>
      <w:r>
        <w:rPr>
          <w:rFonts w:cstheme="majorHAnsi"/>
          <w:noProof/>
          <w:sz w:val="22"/>
        </w:rPr>
        <w:drawing>
          <wp:anchor distT="0" distB="0" distL="114300" distR="114300" simplePos="0" relativeHeight="251670528" behindDoc="0" locked="0" layoutInCell="1" allowOverlap="1" wp14:anchorId="3C5C4F58" wp14:editId="25B033EA">
            <wp:simplePos x="0" y="0"/>
            <wp:positionH relativeFrom="column">
              <wp:posOffset>229235</wp:posOffset>
            </wp:positionH>
            <wp:positionV relativeFrom="paragraph">
              <wp:posOffset>241300</wp:posOffset>
            </wp:positionV>
            <wp:extent cx="2317115" cy="1737995"/>
            <wp:effectExtent l="0" t="0" r="6985"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17115" cy="1737995"/>
                    </a:xfrm>
                    <a:prstGeom prst="rect">
                      <a:avLst/>
                    </a:prstGeom>
                  </pic:spPr>
                </pic:pic>
              </a:graphicData>
            </a:graphic>
            <wp14:sizeRelH relativeFrom="page">
              <wp14:pctWidth>0</wp14:pctWidth>
            </wp14:sizeRelH>
            <wp14:sizeRelV relativeFrom="page">
              <wp14:pctHeight>0</wp14:pctHeight>
            </wp14:sizeRelV>
          </wp:anchor>
        </w:drawing>
      </w:r>
    </w:p>
    <w:p w14:paraId="55A2911E" w14:textId="494F85FA" w:rsidR="00066FEB" w:rsidRDefault="00066FEB" w:rsidP="00935A7C">
      <w:pPr>
        <w:spacing w:after="80" w:line="300" w:lineRule="exact"/>
        <w:ind w:right="-483"/>
        <w:rPr>
          <w:rFonts w:cstheme="majorHAnsi"/>
          <w:sz w:val="22"/>
        </w:rPr>
      </w:pPr>
    </w:p>
    <w:p w14:paraId="7522AAB9" w14:textId="4B979CF4" w:rsidR="00066FEB" w:rsidRDefault="00066FEB" w:rsidP="00935A7C">
      <w:pPr>
        <w:spacing w:after="80" w:line="300" w:lineRule="exact"/>
        <w:ind w:right="-483"/>
        <w:rPr>
          <w:rFonts w:cstheme="majorHAnsi"/>
          <w:sz w:val="22"/>
        </w:rPr>
      </w:pPr>
    </w:p>
    <w:p w14:paraId="5DC3E958" w14:textId="3F1A56B9" w:rsidR="00066FEB" w:rsidRDefault="00066FEB" w:rsidP="00935A7C">
      <w:pPr>
        <w:spacing w:after="80" w:line="300" w:lineRule="exact"/>
        <w:ind w:right="-483"/>
        <w:rPr>
          <w:rFonts w:cstheme="majorHAnsi"/>
          <w:sz w:val="22"/>
        </w:rPr>
      </w:pPr>
    </w:p>
    <w:p w14:paraId="6D0707C1" w14:textId="7AAAAC88" w:rsidR="00066FEB" w:rsidRDefault="00A5642E" w:rsidP="00A5642E">
      <w:pPr>
        <w:spacing w:after="80" w:line="300" w:lineRule="exact"/>
        <w:ind w:left="4950" w:right="-483"/>
        <w:rPr>
          <w:rFonts w:cstheme="majorHAnsi"/>
          <w:sz w:val="22"/>
        </w:rPr>
      </w:pPr>
      <w:r>
        <w:rPr>
          <w:rFonts w:cstheme="majorHAnsi"/>
          <w:sz w:val="22"/>
        </w:rPr>
        <w:t>Schichtaufbau Optigrün-Systemlösung Gartendach</w:t>
      </w:r>
    </w:p>
    <w:p w14:paraId="00A9CD94" w14:textId="0D405719" w:rsidR="00A5642E" w:rsidRDefault="00A5642E" w:rsidP="00A5642E">
      <w:pPr>
        <w:spacing w:after="80" w:line="300" w:lineRule="exact"/>
        <w:ind w:left="4950" w:right="-483"/>
        <w:rPr>
          <w:rFonts w:cstheme="majorHAnsi"/>
          <w:sz w:val="22"/>
        </w:rPr>
      </w:pPr>
    </w:p>
    <w:p w14:paraId="32AFD9A6" w14:textId="77777777" w:rsidR="00A5642E" w:rsidRDefault="00A5642E" w:rsidP="00A5642E">
      <w:pPr>
        <w:spacing w:after="80" w:line="300" w:lineRule="exact"/>
        <w:ind w:left="4950" w:right="-767"/>
        <w:rPr>
          <w:rFonts w:cstheme="majorHAnsi"/>
          <w:sz w:val="22"/>
        </w:rPr>
      </w:pPr>
      <w:r>
        <w:rPr>
          <w:rFonts w:cstheme="majorHAnsi"/>
          <w:sz w:val="22"/>
        </w:rPr>
        <w:tab/>
        <w:t>Bildquelle Optigrün international AG</w:t>
      </w:r>
    </w:p>
    <w:p w14:paraId="785A13A0" w14:textId="139D190F" w:rsidR="00A5642E" w:rsidRDefault="00A5642E" w:rsidP="00A5642E">
      <w:pPr>
        <w:spacing w:after="80" w:line="300" w:lineRule="exact"/>
        <w:ind w:left="4950" w:right="-483"/>
        <w:rPr>
          <w:rFonts w:cstheme="majorHAnsi"/>
          <w:sz w:val="22"/>
        </w:rPr>
      </w:pPr>
    </w:p>
    <w:p w14:paraId="0CD70707" w14:textId="30356253" w:rsidR="00BE7CAF" w:rsidRDefault="00BE7CAF" w:rsidP="00A5642E">
      <w:pPr>
        <w:spacing w:after="80" w:line="300" w:lineRule="exact"/>
        <w:ind w:left="4950" w:right="-483"/>
        <w:rPr>
          <w:rFonts w:cstheme="majorHAnsi"/>
          <w:sz w:val="22"/>
        </w:rPr>
      </w:pPr>
    </w:p>
    <w:p w14:paraId="586B5CAF" w14:textId="29CF9B83" w:rsidR="00BE7CAF" w:rsidRDefault="00BE7CAF" w:rsidP="00A5642E">
      <w:pPr>
        <w:spacing w:after="80" w:line="300" w:lineRule="exact"/>
        <w:ind w:left="4950" w:right="-483"/>
        <w:rPr>
          <w:rFonts w:cstheme="majorHAnsi"/>
          <w:sz w:val="22"/>
        </w:rPr>
      </w:pPr>
    </w:p>
    <w:p w14:paraId="70BEF6F3" w14:textId="09EB0D7D" w:rsidR="00BE7CAF" w:rsidRDefault="00BE7CAF" w:rsidP="00A5642E">
      <w:pPr>
        <w:spacing w:after="80" w:line="300" w:lineRule="exact"/>
        <w:ind w:left="4950" w:right="-483"/>
        <w:rPr>
          <w:rFonts w:cstheme="majorHAnsi"/>
          <w:sz w:val="22"/>
        </w:rPr>
      </w:pPr>
    </w:p>
    <w:p w14:paraId="1C8DC6AF" w14:textId="6165EB62" w:rsidR="00BE7CAF" w:rsidRDefault="00BE7CAF" w:rsidP="00A5642E">
      <w:pPr>
        <w:spacing w:after="80" w:line="300" w:lineRule="exact"/>
        <w:ind w:left="4950" w:right="-483"/>
        <w:rPr>
          <w:rFonts w:cstheme="majorHAnsi"/>
          <w:sz w:val="22"/>
        </w:rPr>
      </w:pPr>
      <w:r>
        <w:rPr>
          <w:rFonts w:cstheme="majorHAnsi"/>
          <w:noProof/>
          <w:sz w:val="22"/>
        </w:rPr>
        <w:drawing>
          <wp:anchor distT="0" distB="0" distL="114300" distR="114300" simplePos="0" relativeHeight="251671552" behindDoc="1" locked="0" layoutInCell="1" allowOverlap="1" wp14:anchorId="4CF0AB7B" wp14:editId="1868F82C">
            <wp:simplePos x="0" y="0"/>
            <wp:positionH relativeFrom="column">
              <wp:posOffset>76835</wp:posOffset>
            </wp:positionH>
            <wp:positionV relativeFrom="paragraph">
              <wp:posOffset>22225</wp:posOffset>
            </wp:positionV>
            <wp:extent cx="2540000" cy="1689100"/>
            <wp:effectExtent l="0" t="0" r="0" b="635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4">
                      <a:extLst>
                        <a:ext uri="{28A0092B-C50C-407E-A947-70E740481C1C}">
                          <a14:useLocalDpi xmlns:a14="http://schemas.microsoft.com/office/drawing/2010/main" val="0"/>
                        </a:ext>
                      </a:extLst>
                    </a:blip>
                    <a:stretch>
                      <a:fillRect/>
                    </a:stretch>
                  </pic:blipFill>
                  <pic:spPr>
                    <a:xfrm>
                      <a:off x="0" y="0"/>
                      <a:ext cx="2540000" cy="1689100"/>
                    </a:xfrm>
                    <a:prstGeom prst="rect">
                      <a:avLst/>
                    </a:prstGeom>
                  </pic:spPr>
                </pic:pic>
              </a:graphicData>
            </a:graphic>
            <wp14:sizeRelH relativeFrom="page">
              <wp14:pctWidth>0</wp14:pctWidth>
            </wp14:sizeRelH>
            <wp14:sizeRelV relativeFrom="page">
              <wp14:pctHeight>0</wp14:pctHeight>
            </wp14:sizeRelV>
          </wp:anchor>
        </w:drawing>
      </w:r>
      <w:r>
        <w:rPr>
          <w:rFonts w:cstheme="majorHAnsi"/>
          <w:sz w:val="22"/>
        </w:rPr>
        <w:t>Axel-Springer-Neubau Berlin</w:t>
      </w:r>
    </w:p>
    <w:p w14:paraId="5CC6010A" w14:textId="2025AA84" w:rsidR="00BE7CAF" w:rsidRDefault="00BE7CAF" w:rsidP="00BE7CAF">
      <w:pPr>
        <w:spacing w:after="80" w:line="300" w:lineRule="exact"/>
        <w:ind w:left="4950" w:right="-767"/>
        <w:rPr>
          <w:rFonts w:cstheme="majorHAnsi"/>
          <w:sz w:val="22"/>
        </w:rPr>
      </w:pPr>
      <w:r>
        <w:rPr>
          <w:rFonts w:cstheme="majorHAnsi"/>
          <w:sz w:val="22"/>
        </w:rPr>
        <w:tab/>
        <w:t>Bildquelle Optigrün international AG</w:t>
      </w:r>
    </w:p>
    <w:p w14:paraId="749D9765" w14:textId="27363A11" w:rsidR="00BE7CAF" w:rsidRDefault="00BE7CAF" w:rsidP="00A5642E">
      <w:pPr>
        <w:spacing w:after="80" w:line="300" w:lineRule="exact"/>
        <w:ind w:left="4950" w:right="-483"/>
        <w:rPr>
          <w:rFonts w:cstheme="majorHAnsi"/>
          <w:sz w:val="22"/>
        </w:rPr>
      </w:pPr>
    </w:p>
    <w:p w14:paraId="665E56AB" w14:textId="60315A9D" w:rsidR="00BE7CAF" w:rsidRDefault="00BE7CAF" w:rsidP="00A5642E">
      <w:pPr>
        <w:spacing w:after="80" w:line="300" w:lineRule="exact"/>
        <w:ind w:left="4950" w:right="-483"/>
        <w:rPr>
          <w:rFonts w:cstheme="majorHAnsi"/>
          <w:sz w:val="22"/>
        </w:rPr>
      </w:pPr>
    </w:p>
    <w:p w14:paraId="3FE9B358" w14:textId="0391FBE8" w:rsidR="00BE7CAF" w:rsidRDefault="00BE7CAF" w:rsidP="00A5642E">
      <w:pPr>
        <w:spacing w:after="80" w:line="300" w:lineRule="exact"/>
        <w:ind w:left="4950" w:right="-483"/>
        <w:rPr>
          <w:rFonts w:cstheme="majorHAnsi"/>
          <w:sz w:val="22"/>
        </w:rPr>
      </w:pPr>
    </w:p>
    <w:p w14:paraId="1279AAF5" w14:textId="13748897" w:rsidR="00BE7CAF" w:rsidRDefault="00BE7CAF" w:rsidP="00A5642E">
      <w:pPr>
        <w:spacing w:after="80" w:line="300" w:lineRule="exact"/>
        <w:ind w:left="4950" w:right="-483"/>
        <w:rPr>
          <w:rFonts w:cstheme="majorHAnsi"/>
          <w:sz w:val="22"/>
        </w:rPr>
      </w:pPr>
    </w:p>
    <w:p w14:paraId="7B9ADF11" w14:textId="7F6C98BE" w:rsidR="00BE7CAF" w:rsidRDefault="00BE7CAF" w:rsidP="00A5642E">
      <w:pPr>
        <w:spacing w:after="80" w:line="300" w:lineRule="exact"/>
        <w:ind w:left="4950" w:right="-483"/>
        <w:rPr>
          <w:rFonts w:cstheme="majorHAnsi"/>
          <w:sz w:val="22"/>
        </w:rPr>
      </w:pPr>
    </w:p>
    <w:p w14:paraId="042C9DC0" w14:textId="4A8B7F74" w:rsidR="00BE7CAF" w:rsidRDefault="00BE7CAF" w:rsidP="00A5642E">
      <w:pPr>
        <w:spacing w:after="80" w:line="300" w:lineRule="exact"/>
        <w:ind w:left="4950" w:right="-483"/>
        <w:rPr>
          <w:rFonts w:cstheme="majorHAnsi"/>
          <w:sz w:val="22"/>
        </w:rPr>
      </w:pPr>
    </w:p>
    <w:p w14:paraId="7888D9B5" w14:textId="3FD43451" w:rsidR="00BE7CAF" w:rsidRDefault="00BE7CAF" w:rsidP="00A5642E">
      <w:pPr>
        <w:spacing w:after="80" w:line="300" w:lineRule="exact"/>
        <w:ind w:left="4950" w:right="-483"/>
        <w:rPr>
          <w:rFonts w:cstheme="majorHAnsi"/>
          <w:sz w:val="22"/>
        </w:rPr>
      </w:pPr>
      <w:r>
        <w:rPr>
          <w:rFonts w:cstheme="majorHAnsi"/>
          <w:noProof/>
          <w:sz w:val="22"/>
        </w:rPr>
        <w:drawing>
          <wp:anchor distT="0" distB="0" distL="114300" distR="114300" simplePos="0" relativeHeight="251672576" behindDoc="1" locked="0" layoutInCell="1" allowOverlap="1" wp14:anchorId="25C11BE7" wp14:editId="2EC32162">
            <wp:simplePos x="0" y="0"/>
            <wp:positionH relativeFrom="column">
              <wp:posOffset>143510</wp:posOffset>
            </wp:positionH>
            <wp:positionV relativeFrom="paragraph">
              <wp:posOffset>88265</wp:posOffset>
            </wp:positionV>
            <wp:extent cx="2533650" cy="1684877"/>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5">
                      <a:extLst>
                        <a:ext uri="{28A0092B-C50C-407E-A947-70E740481C1C}">
                          <a14:useLocalDpi xmlns:a14="http://schemas.microsoft.com/office/drawing/2010/main" val="0"/>
                        </a:ext>
                      </a:extLst>
                    </a:blip>
                    <a:stretch>
                      <a:fillRect/>
                    </a:stretch>
                  </pic:blipFill>
                  <pic:spPr>
                    <a:xfrm>
                      <a:off x="0" y="0"/>
                      <a:ext cx="2533650" cy="1684877"/>
                    </a:xfrm>
                    <a:prstGeom prst="rect">
                      <a:avLst/>
                    </a:prstGeom>
                  </pic:spPr>
                </pic:pic>
              </a:graphicData>
            </a:graphic>
            <wp14:sizeRelH relativeFrom="page">
              <wp14:pctWidth>0</wp14:pctWidth>
            </wp14:sizeRelH>
            <wp14:sizeRelV relativeFrom="page">
              <wp14:pctHeight>0</wp14:pctHeight>
            </wp14:sizeRelV>
          </wp:anchor>
        </w:drawing>
      </w:r>
    </w:p>
    <w:p w14:paraId="0050E964" w14:textId="4BEFB3A3" w:rsidR="00BE7CAF" w:rsidRDefault="00BE7CAF" w:rsidP="00A5642E">
      <w:pPr>
        <w:spacing w:after="80" w:line="300" w:lineRule="exact"/>
        <w:ind w:left="4950" w:right="-483"/>
        <w:rPr>
          <w:rFonts w:cstheme="majorHAnsi"/>
          <w:sz w:val="22"/>
        </w:rPr>
      </w:pPr>
      <w:r>
        <w:rPr>
          <w:rFonts w:cstheme="majorHAnsi"/>
          <w:sz w:val="22"/>
        </w:rPr>
        <w:t>Audimax, Frankfurt</w:t>
      </w:r>
    </w:p>
    <w:p w14:paraId="52261E72" w14:textId="0D5019A2" w:rsidR="00C12C6F" w:rsidRDefault="00C12C6F" w:rsidP="00C12C6F">
      <w:pPr>
        <w:spacing w:after="80" w:line="300" w:lineRule="exact"/>
        <w:ind w:left="4950" w:right="-767"/>
        <w:rPr>
          <w:rFonts w:cstheme="majorHAnsi"/>
          <w:sz w:val="22"/>
        </w:rPr>
      </w:pPr>
      <w:r>
        <w:rPr>
          <w:rFonts w:cstheme="majorHAnsi"/>
          <w:sz w:val="22"/>
        </w:rPr>
        <w:tab/>
        <w:t>Bildquelle Optigrün international AG</w:t>
      </w:r>
    </w:p>
    <w:p w14:paraId="45CB52B3" w14:textId="1B6AD328" w:rsidR="00C12C6F" w:rsidRDefault="00C12C6F" w:rsidP="00A5642E">
      <w:pPr>
        <w:spacing w:after="80" w:line="300" w:lineRule="exact"/>
        <w:ind w:left="4950" w:right="-483"/>
        <w:rPr>
          <w:rFonts w:cstheme="majorHAnsi"/>
          <w:sz w:val="22"/>
        </w:rPr>
      </w:pPr>
    </w:p>
    <w:p w14:paraId="6C3373E7" w14:textId="035021B1" w:rsidR="00C12C6F" w:rsidRDefault="00C12C6F" w:rsidP="00A5642E">
      <w:pPr>
        <w:spacing w:after="80" w:line="300" w:lineRule="exact"/>
        <w:ind w:left="4950" w:right="-483"/>
        <w:rPr>
          <w:rFonts w:cstheme="majorHAnsi"/>
          <w:sz w:val="22"/>
        </w:rPr>
      </w:pPr>
    </w:p>
    <w:p w14:paraId="4A186844" w14:textId="5EE6CDF7" w:rsidR="00C12C6F" w:rsidRDefault="00C12C6F" w:rsidP="00A5642E">
      <w:pPr>
        <w:spacing w:after="80" w:line="300" w:lineRule="exact"/>
        <w:ind w:left="4950" w:right="-483"/>
        <w:rPr>
          <w:rFonts w:cstheme="majorHAnsi"/>
          <w:sz w:val="22"/>
        </w:rPr>
      </w:pPr>
    </w:p>
    <w:p w14:paraId="2A2436B1" w14:textId="5E268731" w:rsidR="00C12C6F" w:rsidRDefault="00C12C6F" w:rsidP="00A5642E">
      <w:pPr>
        <w:spacing w:after="80" w:line="300" w:lineRule="exact"/>
        <w:ind w:left="4950" w:right="-483"/>
        <w:rPr>
          <w:rFonts w:cstheme="majorHAnsi"/>
          <w:sz w:val="22"/>
        </w:rPr>
      </w:pPr>
    </w:p>
    <w:p w14:paraId="6BECA842" w14:textId="53BA5BF7" w:rsidR="00C12C6F" w:rsidRDefault="00C12C6F" w:rsidP="00A5642E">
      <w:pPr>
        <w:spacing w:after="80" w:line="300" w:lineRule="exact"/>
        <w:ind w:left="4950" w:right="-483"/>
        <w:rPr>
          <w:rFonts w:cstheme="majorHAnsi"/>
          <w:sz w:val="22"/>
        </w:rPr>
      </w:pPr>
    </w:p>
    <w:p w14:paraId="4E01AE39" w14:textId="6ED2CC22" w:rsidR="00C12C6F" w:rsidRDefault="00F60BD9" w:rsidP="00A5642E">
      <w:pPr>
        <w:spacing w:after="80" w:line="300" w:lineRule="exact"/>
        <w:ind w:left="4950" w:right="-483"/>
        <w:rPr>
          <w:rFonts w:cstheme="majorHAnsi"/>
          <w:sz w:val="22"/>
        </w:rPr>
      </w:pPr>
      <w:r>
        <w:rPr>
          <w:rFonts w:cstheme="majorHAnsi"/>
          <w:noProof/>
          <w:sz w:val="22"/>
        </w:rPr>
        <w:drawing>
          <wp:anchor distT="0" distB="0" distL="114300" distR="114300" simplePos="0" relativeHeight="251673600" behindDoc="1" locked="0" layoutInCell="1" allowOverlap="1" wp14:anchorId="0B22BF0F" wp14:editId="5AC48F16">
            <wp:simplePos x="0" y="0"/>
            <wp:positionH relativeFrom="column">
              <wp:posOffset>200659</wp:posOffset>
            </wp:positionH>
            <wp:positionV relativeFrom="paragraph">
              <wp:posOffset>209550</wp:posOffset>
            </wp:positionV>
            <wp:extent cx="2490951" cy="1655445"/>
            <wp:effectExtent l="0" t="0" r="5080" b="190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6">
                      <a:extLst>
                        <a:ext uri="{28A0092B-C50C-407E-A947-70E740481C1C}">
                          <a14:useLocalDpi xmlns:a14="http://schemas.microsoft.com/office/drawing/2010/main" val="0"/>
                        </a:ext>
                      </a:extLst>
                    </a:blip>
                    <a:stretch>
                      <a:fillRect/>
                    </a:stretch>
                  </pic:blipFill>
                  <pic:spPr>
                    <a:xfrm>
                      <a:off x="0" y="0"/>
                      <a:ext cx="2492274" cy="1656324"/>
                    </a:xfrm>
                    <a:prstGeom prst="rect">
                      <a:avLst/>
                    </a:prstGeom>
                  </pic:spPr>
                </pic:pic>
              </a:graphicData>
            </a:graphic>
            <wp14:sizeRelH relativeFrom="page">
              <wp14:pctWidth>0</wp14:pctWidth>
            </wp14:sizeRelH>
            <wp14:sizeRelV relativeFrom="page">
              <wp14:pctHeight>0</wp14:pctHeight>
            </wp14:sizeRelV>
          </wp:anchor>
        </w:drawing>
      </w:r>
    </w:p>
    <w:p w14:paraId="227C7042" w14:textId="480B268D" w:rsidR="00C12C6F" w:rsidRDefault="00C12C6F" w:rsidP="00A5642E">
      <w:pPr>
        <w:spacing w:after="80" w:line="300" w:lineRule="exact"/>
        <w:ind w:left="4950" w:right="-483"/>
        <w:rPr>
          <w:rFonts w:cstheme="majorHAnsi"/>
          <w:sz w:val="22"/>
        </w:rPr>
      </w:pPr>
      <w:r>
        <w:rPr>
          <w:rFonts w:cstheme="majorHAnsi"/>
          <w:sz w:val="22"/>
        </w:rPr>
        <w:t>Teststation Optigrün</w:t>
      </w:r>
    </w:p>
    <w:p w14:paraId="41946C4E" w14:textId="49D75A6B" w:rsidR="00C12C6F" w:rsidRDefault="00C12C6F" w:rsidP="00C12C6F">
      <w:pPr>
        <w:spacing w:after="80" w:line="300" w:lineRule="exact"/>
        <w:ind w:left="4950" w:right="-767"/>
        <w:rPr>
          <w:rFonts w:cstheme="majorHAnsi"/>
          <w:sz w:val="22"/>
        </w:rPr>
      </w:pPr>
      <w:r>
        <w:rPr>
          <w:rFonts w:cstheme="majorHAnsi"/>
          <w:sz w:val="22"/>
        </w:rPr>
        <w:tab/>
        <w:t>Bildquelle Optigrün international AG</w:t>
      </w:r>
    </w:p>
    <w:p w14:paraId="005E6D51" w14:textId="760BC8CC" w:rsidR="00C12C6F" w:rsidRDefault="00C12C6F" w:rsidP="00A5642E">
      <w:pPr>
        <w:spacing w:after="80" w:line="300" w:lineRule="exact"/>
        <w:ind w:left="4950" w:right="-483"/>
        <w:rPr>
          <w:rFonts w:cstheme="majorHAnsi"/>
          <w:sz w:val="22"/>
        </w:rPr>
      </w:pPr>
    </w:p>
    <w:p w14:paraId="3D2327E1" w14:textId="08BDC0A1" w:rsidR="00C12C6F" w:rsidRDefault="00C12C6F" w:rsidP="00A5642E">
      <w:pPr>
        <w:spacing w:after="80" w:line="300" w:lineRule="exact"/>
        <w:ind w:left="4950" w:right="-483"/>
        <w:rPr>
          <w:rFonts w:cstheme="majorHAnsi"/>
          <w:sz w:val="22"/>
        </w:rPr>
      </w:pPr>
    </w:p>
    <w:sectPr w:rsidR="00C12C6F" w:rsidSect="00284CBF">
      <w:headerReference w:type="default" r:id="rId17"/>
      <w:footerReference w:type="default" r:id="rId18"/>
      <w:pgSz w:w="11906" w:h="16838" w:code="9"/>
      <w:pgMar w:top="1701" w:right="1304" w:bottom="1134" w:left="1304" w:header="709" w:footer="454" w:gutter="0"/>
      <w:paperSrc w:first="258" w:other="25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BE621" w14:textId="77777777" w:rsidR="008A0ED4" w:rsidRDefault="008A0ED4" w:rsidP="00595323">
      <w:pPr>
        <w:spacing w:after="0" w:line="240" w:lineRule="auto"/>
      </w:pPr>
      <w:r>
        <w:separator/>
      </w:r>
    </w:p>
  </w:endnote>
  <w:endnote w:type="continuationSeparator" w:id="0">
    <w:p w14:paraId="17E9B0CB" w14:textId="77777777" w:rsidR="008A0ED4" w:rsidRDefault="008A0ED4" w:rsidP="00595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BE145" w14:textId="0118EF8A" w:rsidR="00B32595" w:rsidRDefault="00DF689B" w:rsidP="0006412A">
    <w:pPr>
      <w:pStyle w:val="Fuzeile"/>
      <w:jc w:val="right"/>
    </w:pPr>
    <w:r>
      <w:rPr>
        <w:noProof/>
        <w:lang w:eastAsia="de-DE"/>
      </w:rPr>
      <w:drawing>
        <wp:anchor distT="0" distB="0" distL="114300" distR="114300" simplePos="0" relativeHeight="251663360" behindDoc="1" locked="1" layoutInCell="1" allowOverlap="1" wp14:anchorId="7C1F06DC" wp14:editId="4D571245">
          <wp:simplePos x="0" y="0"/>
          <wp:positionH relativeFrom="column">
            <wp:posOffset>-814705</wp:posOffset>
          </wp:positionH>
          <wp:positionV relativeFrom="page">
            <wp:posOffset>9785350</wp:posOffset>
          </wp:positionV>
          <wp:extent cx="7559675" cy="881380"/>
          <wp:effectExtent l="0" t="0" r="3175"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Fuss.jpg"/>
                  <pic:cNvPicPr/>
                </pic:nvPicPr>
                <pic:blipFill>
                  <a:blip r:embed="rId1">
                    <a:extLst>
                      <a:ext uri="{28A0092B-C50C-407E-A947-70E740481C1C}">
                        <a14:useLocalDpi xmlns:a14="http://schemas.microsoft.com/office/drawing/2010/main" val="0"/>
                      </a:ext>
                    </a:extLst>
                  </a:blip>
                  <a:stretch>
                    <a:fillRect/>
                  </a:stretch>
                </pic:blipFill>
                <pic:spPr>
                  <a:xfrm>
                    <a:off x="0" y="0"/>
                    <a:ext cx="7559675" cy="88138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98E3BE" w14:textId="77777777" w:rsidR="008A0ED4" w:rsidRDefault="008A0ED4" w:rsidP="00595323">
      <w:pPr>
        <w:spacing w:after="0" w:line="240" w:lineRule="auto"/>
      </w:pPr>
      <w:r>
        <w:separator/>
      </w:r>
    </w:p>
  </w:footnote>
  <w:footnote w:type="continuationSeparator" w:id="0">
    <w:p w14:paraId="1385BCEC" w14:textId="77777777" w:rsidR="008A0ED4" w:rsidRDefault="008A0ED4" w:rsidP="00595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EADB9" w14:textId="77777777" w:rsidR="00595323" w:rsidRDefault="0080706C">
    <w:pPr>
      <w:pStyle w:val="Kopfzeile"/>
    </w:pPr>
    <w:r>
      <w:rPr>
        <w:noProof/>
        <w:lang w:eastAsia="de-DE"/>
      </w:rPr>
      <w:drawing>
        <wp:anchor distT="0" distB="0" distL="114300" distR="114300" simplePos="0" relativeHeight="251664384" behindDoc="0" locked="0" layoutInCell="1" allowOverlap="1" wp14:anchorId="55941BC7" wp14:editId="2DFA731E">
          <wp:simplePos x="0" y="0"/>
          <wp:positionH relativeFrom="column">
            <wp:posOffset>-818845</wp:posOffset>
          </wp:positionH>
          <wp:positionV relativeFrom="paragraph">
            <wp:posOffset>-439420</wp:posOffset>
          </wp:positionV>
          <wp:extent cx="7560000" cy="953741"/>
          <wp:effectExtent l="0" t="0" r="317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top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9537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780CA2"/>
    <w:multiLevelType w:val="hybridMultilevel"/>
    <w:tmpl w:val="48A67436"/>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79A1"/>
    <w:rsid w:val="00031603"/>
    <w:rsid w:val="00034F6C"/>
    <w:rsid w:val="000530E6"/>
    <w:rsid w:val="0006412A"/>
    <w:rsid w:val="00066FEB"/>
    <w:rsid w:val="000759CC"/>
    <w:rsid w:val="00083EC8"/>
    <w:rsid w:val="00084ADD"/>
    <w:rsid w:val="000931AB"/>
    <w:rsid w:val="000C681F"/>
    <w:rsid w:val="000C7D1C"/>
    <w:rsid w:val="000E3C13"/>
    <w:rsid w:val="000F192E"/>
    <w:rsid w:val="000F64D3"/>
    <w:rsid w:val="00100953"/>
    <w:rsid w:val="00103458"/>
    <w:rsid w:val="001249E4"/>
    <w:rsid w:val="00134011"/>
    <w:rsid w:val="00150536"/>
    <w:rsid w:val="00155676"/>
    <w:rsid w:val="001666E0"/>
    <w:rsid w:val="0017278A"/>
    <w:rsid w:val="00172913"/>
    <w:rsid w:val="00176A6E"/>
    <w:rsid w:val="001A3BA1"/>
    <w:rsid w:val="001D6EE6"/>
    <w:rsid w:val="001E0799"/>
    <w:rsid w:val="00200247"/>
    <w:rsid w:val="002230E1"/>
    <w:rsid w:val="0023186D"/>
    <w:rsid w:val="00235319"/>
    <w:rsid w:val="00244D46"/>
    <w:rsid w:val="00246FE0"/>
    <w:rsid w:val="00250067"/>
    <w:rsid w:val="00253719"/>
    <w:rsid w:val="00254FC4"/>
    <w:rsid w:val="00284CBF"/>
    <w:rsid w:val="002F11C4"/>
    <w:rsid w:val="002F1C23"/>
    <w:rsid w:val="0030069F"/>
    <w:rsid w:val="003016D0"/>
    <w:rsid w:val="00303B72"/>
    <w:rsid w:val="003079CE"/>
    <w:rsid w:val="00310267"/>
    <w:rsid w:val="00331019"/>
    <w:rsid w:val="00334454"/>
    <w:rsid w:val="003459EE"/>
    <w:rsid w:val="00364838"/>
    <w:rsid w:val="00386AEF"/>
    <w:rsid w:val="00390D35"/>
    <w:rsid w:val="003B0050"/>
    <w:rsid w:val="003E7377"/>
    <w:rsid w:val="0040480F"/>
    <w:rsid w:val="004639A0"/>
    <w:rsid w:val="00464141"/>
    <w:rsid w:val="00471C72"/>
    <w:rsid w:val="00472DF6"/>
    <w:rsid w:val="00473D8C"/>
    <w:rsid w:val="00492C72"/>
    <w:rsid w:val="00497847"/>
    <w:rsid w:val="004A79A6"/>
    <w:rsid w:val="00504156"/>
    <w:rsid w:val="00506A71"/>
    <w:rsid w:val="00512E8E"/>
    <w:rsid w:val="00522C53"/>
    <w:rsid w:val="00542E6E"/>
    <w:rsid w:val="0055460E"/>
    <w:rsid w:val="005625AF"/>
    <w:rsid w:val="005754A6"/>
    <w:rsid w:val="00577A62"/>
    <w:rsid w:val="0058002E"/>
    <w:rsid w:val="00582856"/>
    <w:rsid w:val="00584E26"/>
    <w:rsid w:val="00595323"/>
    <w:rsid w:val="005A274D"/>
    <w:rsid w:val="005F2C4B"/>
    <w:rsid w:val="005F3C4B"/>
    <w:rsid w:val="005F6F20"/>
    <w:rsid w:val="00600B16"/>
    <w:rsid w:val="00600D58"/>
    <w:rsid w:val="00604DC1"/>
    <w:rsid w:val="0060546B"/>
    <w:rsid w:val="00613F1F"/>
    <w:rsid w:val="00615F34"/>
    <w:rsid w:val="00633743"/>
    <w:rsid w:val="00644299"/>
    <w:rsid w:val="00677CB3"/>
    <w:rsid w:val="00692523"/>
    <w:rsid w:val="006A1555"/>
    <w:rsid w:val="006A78E1"/>
    <w:rsid w:val="006B4B0E"/>
    <w:rsid w:val="006B5C15"/>
    <w:rsid w:val="006B76F0"/>
    <w:rsid w:val="006C558B"/>
    <w:rsid w:val="006D36E0"/>
    <w:rsid w:val="006D72F6"/>
    <w:rsid w:val="006F60D3"/>
    <w:rsid w:val="0071340F"/>
    <w:rsid w:val="00714FEA"/>
    <w:rsid w:val="00720984"/>
    <w:rsid w:val="00726C2D"/>
    <w:rsid w:val="0074352F"/>
    <w:rsid w:val="0075644B"/>
    <w:rsid w:val="00756EC4"/>
    <w:rsid w:val="00763536"/>
    <w:rsid w:val="007873A6"/>
    <w:rsid w:val="007B7D51"/>
    <w:rsid w:val="007D53FC"/>
    <w:rsid w:val="007E177C"/>
    <w:rsid w:val="007E5874"/>
    <w:rsid w:val="007E71E3"/>
    <w:rsid w:val="00801E6E"/>
    <w:rsid w:val="0080342C"/>
    <w:rsid w:val="00803CAC"/>
    <w:rsid w:val="0080706C"/>
    <w:rsid w:val="008361B0"/>
    <w:rsid w:val="00842D95"/>
    <w:rsid w:val="00844894"/>
    <w:rsid w:val="00871F7A"/>
    <w:rsid w:val="00884846"/>
    <w:rsid w:val="008A0ED4"/>
    <w:rsid w:val="008D4DC4"/>
    <w:rsid w:val="008F41FF"/>
    <w:rsid w:val="008F6AB1"/>
    <w:rsid w:val="009233B2"/>
    <w:rsid w:val="00935A7C"/>
    <w:rsid w:val="00941F26"/>
    <w:rsid w:val="00952F51"/>
    <w:rsid w:val="00970DAF"/>
    <w:rsid w:val="00980777"/>
    <w:rsid w:val="00981754"/>
    <w:rsid w:val="0099730B"/>
    <w:rsid w:val="009A06FE"/>
    <w:rsid w:val="009A3349"/>
    <w:rsid w:val="009A7F9D"/>
    <w:rsid w:val="009F0793"/>
    <w:rsid w:val="009F08B7"/>
    <w:rsid w:val="00A036B8"/>
    <w:rsid w:val="00A24F99"/>
    <w:rsid w:val="00A42C47"/>
    <w:rsid w:val="00A4383A"/>
    <w:rsid w:val="00A53EAA"/>
    <w:rsid w:val="00A5642E"/>
    <w:rsid w:val="00A568DD"/>
    <w:rsid w:val="00A56EA3"/>
    <w:rsid w:val="00A612FA"/>
    <w:rsid w:val="00A66321"/>
    <w:rsid w:val="00A703A2"/>
    <w:rsid w:val="00A8395F"/>
    <w:rsid w:val="00A95CE3"/>
    <w:rsid w:val="00AA3593"/>
    <w:rsid w:val="00AA4B40"/>
    <w:rsid w:val="00AB2D15"/>
    <w:rsid w:val="00AD04D1"/>
    <w:rsid w:val="00AD67AE"/>
    <w:rsid w:val="00AD79A2"/>
    <w:rsid w:val="00AE415B"/>
    <w:rsid w:val="00AE52AF"/>
    <w:rsid w:val="00AE6EC8"/>
    <w:rsid w:val="00AF091E"/>
    <w:rsid w:val="00B22189"/>
    <w:rsid w:val="00B32595"/>
    <w:rsid w:val="00B42A78"/>
    <w:rsid w:val="00B52524"/>
    <w:rsid w:val="00B66B89"/>
    <w:rsid w:val="00B7295F"/>
    <w:rsid w:val="00B748A3"/>
    <w:rsid w:val="00B74FB8"/>
    <w:rsid w:val="00B761A2"/>
    <w:rsid w:val="00B940FC"/>
    <w:rsid w:val="00B97949"/>
    <w:rsid w:val="00BA1095"/>
    <w:rsid w:val="00BA5C41"/>
    <w:rsid w:val="00BA60B8"/>
    <w:rsid w:val="00BB468A"/>
    <w:rsid w:val="00BC0AEC"/>
    <w:rsid w:val="00BC32E2"/>
    <w:rsid w:val="00BD2682"/>
    <w:rsid w:val="00BD6BE2"/>
    <w:rsid w:val="00BE7CAF"/>
    <w:rsid w:val="00C0482A"/>
    <w:rsid w:val="00C06AEA"/>
    <w:rsid w:val="00C12C6F"/>
    <w:rsid w:val="00C1639B"/>
    <w:rsid w:val="00C20553"/>
    <w:rsid w:val="00C339D4"/>
    <w:rsid w:val="00C36FE2"/>
    <w:rsid w:val="00C37C01"/>
    <w:rsid w:val="00C51B93"/>
    <w:rsid w:val="00C54D97"/>
    <w:rsid w:val="00C56ED7"/>
    <w:rsid w:val="00C94364"/>
    <w:rsid w:val="00CA0841"/>
    <w:rsid w:val="00CD38F4"/>
    <w:rsid w:val="00CF43F8"/>
    <w:rsid w:val="00D13CEB"/>
    <w:rsid w:val="00D1402B"/>
    <w:rsid w:val="00D262C6"/>
    <w:rsid w:val="00D50D49"/>
    <w:rsid w:val="00D632CA"/>
    <w:rsid w:val="00D67732"/>
    <w:rsid w:val="00D70F50"/>
    <w:rsid w:val="00D76DA9"/>
    <w:rsid w:val="00D86229"/>
    <w:rsid w:val="00D87473"/>
    <w:rsid w:val="00D929C3"/>
    <w:rsid w:val="00DA2251"/>
    <w:rsid w:val="00DB1377"/>
    <w:rsid w:val="00DB1EF4"/>
    <w:rsid w:val="00DF0391"/>
    <w:rsid w:val="00DF09F8"/>
    <w:rsid w:val="00DF689B"/>
    <w:rsid w:val="00DF6A42"/>
    <w:rsid w:val="00E24C94"/>
    <w:rsid w:val="00E26F8C"/>
    <w:rsid w:val="00E33974"/>
    <w:rsid w:val="00E40CCC"/>
    <w:rsid w:val="00E44E53"/>
    <w:rsid w:val="00E52DF8"/>
    <w:rsid w:val="00E618A3"/>
    <w:rsid w:val="00E73F5D"/>
    <w:rsid w:val="00E840E5"/>
    <w:rsid w:val="00E86CD0"/>
    <w:rsid w:val="00E90401"/>
    <w:rsid w:val="00EA0E22"/>
    <w:rsid w:val="00EA3968"/>
    <w:rsid w:val="00EA79A1"/>
    <w:rsid w:val="00EC7AB2"/>
    <w:rsid w:val="00EF29F0"/>
    <w:rsid w:val="00F012F4"/>
    <w:rsid w:val="00F11045"/>
    <w:rsid w:val="00F1323E"/>
    <w:rsid w:val="00F16F4A"/>
    <w:rsid w:val="00F51820"/>
    <w:rsid w:val="00F55842"/>
    <w:rsid w:val="00F57EF8"/>
    <w:rsid w:val="00F60BD9"/>
    <w:rsid w:val="00F77772"/>
    <w:rsid w:val="00F86200"/>
    <w:rsid w:val="00F932A6"/>
    <w:rsid w:val="00F949DD"/>
    <w:rsid w:val="00FA125A"/>
    <w:rsid w:val="00FB5DBF"/>
    <w:rsid w:val="00FD3BB5"/>
    <w:rsid w:val="00FE00F5"/>
    <w:rsid w:val="00FF64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15E40"/>
  <w15:chartTrackingRefBased/>
  <w15:docId w15:val="{336D6E42-8486-443F-8C9B-E983D5E24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rebuchet MS" w:eastAsiaTheme="minorHAnsi" w:hAnsi="Trebuchet MS" w:cstheme="minorBidi"/>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703A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ett">
    <w:name w:val="Strong"/>
    <w:basedOn w:val="Absatz-Standardschriftart"/>
    <w:uiPriority w:val="22"/>
    <w:qFormat/>
    <w:rsid w:val="00952F51"/>
    <w:rPr>
      <w:b/>
      <w:bCs/>
    </w:rPr>
  </w:style>
  <w:style w:type="character" w:styleId="Hyperlink">
    <w:name w:val="Hyperlink"/>
    <w:basedOn w:val="Absatz-Standardschriftart"/>
    <w:uiPriority w:val="99"/>
    <w:unhideWhenUsed/>
    <w:rsid w:val="000F64D3"/>
    <w:rPr>
      <w:color w:val="0563C1" w:themeColor="hyperlink"/>
      <w:u w:val="single"/>
    </w:rPr>
  </w:style>
  <w:style w:type="character" w:customStyle="1" w:styleId="NichtaufgelsteErwhnung1">
    <w:name w:val="Nicht aufgelöste Erwähnung1"/>
    <w:basedOn w:val="Absatz-Standardschriftart"/>
    <w:uiPriority w:val="99"/>
    <w:semiHidden/>
    <w:unhideWhenUsed/>
    <w:rsid w:val="000F64D3"/>
    <w:rPr>
      <w:color w:val="808080"/>
      <w:shd w:val="clear" w:color="auto" w:fill="E6E6E6"/>
    </w:rPr>
  </w:style>
  <w:style w:type="paragraph" w:styleId="Kopfzeile">
    <w:name w:val="header"/>
    <w:basedOn w:val="Standard"/>
    <w:link w:val="KopfzeileZchn"/>
    <w:uiPriority w:val="99"/>
    <w:unhideWhenUsed/>
    <w:rsid w:val="0059532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95323"/>
  </w:style>
  <w:style w:type="paragraph" w:styleId="Fuzeile">
    <w:name w:val="footer"/>
    <w:basedOn w:val="Standard"/>
    <w:link w:val="FuzeileZchn"/>
    <w:uiPriority w:val="99"/>
    <w:unhideWhenUsed/>
    <w:rsid w:val="0059532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95323"/>
  </w:style>
  <w:style w:type="paragraph" w:styleId="Sprechblasentext">
    <w:name w:val="Balloon Text"/>
    <w:basedOn w:val="Standard"/>
    <w:link w:val="SprechblasentextZchn"/>
    <w:uiPriority w:val="99"/>
    <w:semiHidden/>
    <w:unhideWhenUsed/>
    <w:rsid w:val="0076353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63536"/>
    <w:rPr>
      <w:rFonts w:ascii="Segoe UI" w:hAnsi="Segoe UI" w:cs="Segoe UI"/>
      <w:sz w:val="18"/>
      <w:szCs w:val="18"/>
    </w:rPr>
  </w:style>
  <w:style w:type="character" w:styleId="Kommentarzeichen">
    <w:name w:val="annotation reference"/>
    <w:basedOn w:val="Absatz-Standardschriftart"/>
    <w:uiPriority w:val="99"/>
    <w:semiHidden/>
    <w:unhideWhenUsed/>
    <w:rsid w:val="00D262C6"/>
    <w:rPr>
      <w:sz w:val="16"/>
      <w:szCs w:val="16"/>
    </w:rPr>
  </w:style>
  <w:style w:type="paragraph" w:styleId="Kommentartext">
    <w:name w:val="annotation text"/>
    <w:basedOn w:val="Standard"/>
    <w:link w:val="KommentartextZchn"/>
    <w:uiPriority w:val="99"/>
    <w:semiHidden/>
    <w:unhideWhenUsed/>
    <w:rsid w:val="00D262C6"/>
    <w:pPr>
      <w:spacing w:line="240" w:lineRule="auto"/>
    </w:pPr>
    <w:rPr>
      <w:szCs w:val="20"/>
    </w:rPr>
  </w:style>
  <w:style w:type="character" w:customStyle="1" w:styleId="KommentartextZchn">
    <w:name w:val="Kommentartext Zchn"/>
    <w:basedOn w:val="Absatz-Standardschriftart"/>
    <w:link w:val="Kommentartext"/>
    <w:uiPriority w:val="99"/>
    <w:semiHidden/>
    <w:rsid w:val="00D262C6"/>
    <w:rPr>
      <w:szCs w:val="20"/>
    </w:rPr>
  </w:style>
  <w:style w:type="paragraph" w:styleId="Kommentarthema">
    <w:name w:val="annotation subject"/>
    <w:basedOn w:val="Kommentartext"/>
    <w:next w:val="Kommentartext"/>
    <w:link w:val="KommentarthemaZchn"/>
    <w:uiPriority w:val="99"/>
    <w:semiHidden/>
    <w:unhideWhenUsed/>
    <w:rsid w:val="00D262C6"/>
    <w:rPr>
      <w:b/>
      <w:bCs/>
    </w:rPr>
  </w:style>
  <w:style w:type="character" w:customStyle="1" w:styleId="KommentarthemaZchn">
    <w:name w:val="Kommentarthema Zchn"/>
    <w:basedOn w:val="KommentartextZchn"/>
    <w:link w:val="Kommentarthema"/>
    <w:uiPriority w:val="99"/>
    <w:semiHidden/>
    <w:rsid w:val="00D262C6"/>
    <w:rPr>
      <w:b/>
      <w:bCs/>
      <w:szCs w:val="20"/>
    </w:rPr>
  </w:style>
  <w:style w:type="paragraph" w:styleId="Listenabsatz">
    <w:name w:val="List Paragraph"/>
    <w:basedOn w:val="Standard"/>
    <w:uiPriority w:val="34"/>
    <w:qFormat/>
    <w:rsid w:val="00390D35"/>
    <w:pPr>
      <w:ind w:left="720"/>
      <w:contextualSpacing/>
    </w:pPr>
  </w:style>
  <w:style w:type="table" w:styleId="Tabellenraster">
    <w:name w:val="Table Grid"/>
    <w:basedOn w:val="NormaleTabelle"/>
    <w:uiPriority w:val="39"/>
    <w:rsid w:val="00DA2251"/>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F110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ipp@optigruen.de" TargetMode="External"/><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11.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1083</Words>
  <Characters>6827</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Ilona Nipp</dc:creator>
  <cp:keywords/>
  <dc:description/>
  <cp:lastModifiedBy>Ilona Nipp</cp:lastModifiedBy>
  <cp:revision>13</cp:revision>
  <cp:lastPrinted>2020-07-16T09:25:00Z</cp:lastPrinted>
  <dcterms:created xsi:type="dcterms:W3CDTF">2022-02-18T08:54:00Z</dcterms:created>
  <dcterms:modified xsi:type="dcterms:W3CDTF">2022-02-18T13:52:00Z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SATYP">
    <vt:lpwstr>12</vt:lpwstr>
  </property>
  <property fmtid="{D5CDD505-2E9C-101B-9397-08002B2CF9AE}" pid="3" name="PSACUBCTL">
    <vt:lpwstr>n</vt:lpwstr>
  </property>
  <property fmtid="{D5CDD505-2E9C-101B-9397-08002B2CF9AE}" pid="4" name="PSADOCVER">
    <vt:lpwstr>0</vt:lpwstr>
  </property>
  <property fmtid="{D5CDD505-2E9C-101B-9397-08002B2CF9AE}" pid="5" name="PSADOCREV">
    <vt:lpwstr>0</vt:lpwstr>
  </property>
  <property fmtid="{D5CDD505-2E9C-101B-9397-08002B2CF9AE}" pid="6" name="PSADOCNUM">
    <vt:lpwstr>D-18-279930</vt:lpwstr>
  </property>
</Properties>
</file>